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460C8">
      <w:pPr>
        <w:pStyle w:val="81"/>
        <w:spacing w:before="120" w:beforeAutospacing="0" w:after="120" w:afterAutospacing="0" w:line="360" w:lineRule="auto"/>
        <w:jc w:val="center"/>
        <w:rPr>
          <w:rFonts w:hint="eastAsia" w:ascii="宋体" w:hAnsi="宋体" w:eastAsia="宋体" w:cs="宋体"/>
          <w:b/>
          <w:color w:val="000000"/>
          <w:sz w:val="72"/>
          <w:szCs w:val="72"/>
        </w:rPr>
      </w:pPr>
    </w:p>
    <w:p w14:paraId="762888CB">
      <w:pPr>
        <w:pStyle w:val="81"/>
        <w:spacing w:before="120" w:beforeAutospacing="0" w:after="120" w:afterAutospacing="0" w:line="360" w:lineRule="auto"/>
        <w:jc w:val="center"/>
        <w:rPr>
          <w:rFonts w:hint="eastAsia" w:ascii="宋体" w:hAnsi="宋体" w:eastAsia="宋体" w:cs="宋体"/>
          <w:color w:val="000000"/>
          <w:sz w:val="84"/>
          <w:szCs w:val="84"/>
        </w:rPr>
      </w:pPr>
      <w:r>
        <w:rPr>
          <w:rFonts w:hint="eastAsia" w:ascii="宋体" w:hAnsi="宋体" w:eastAsia="宋体" w:cs="宋体"/>
          <w:b/>
          <w:color w:val="000000"/>
          <w:sz w:val="84"/>
          <w:szCs w:val="84"/>
        </w:rPr>
        <w:t>单一来源采购文件</w:t>
      </w:r>
    </w:p>
    <w:p w14:paraId="640D21AD">
      <w:pPr>
        <w:pStyle w:val="81"/>
        <w:spacing w:before="120" w:beforeAutospacing="0" w:after="120" w:afterAutospacing="0" w:line="360" w:lineRule="auto"/>
        <w:jc w:val="center"/>
        <w:rPr>
          <w:rFonts w:hint="eastAsia" w:ascii="宋体" w:hAnsi="宋体" w:eastAsia="宋体" w:cs="宋体"/>
          <w:b/>
          <w:color w:val="000000"/>
          <w:sz w:val="32"/>
          <w:szCs w:val="32"/>
        </w:rPr>
      </w:pPr>
    </w:p>
    <w:p w14:paraId="31673A5F">
      <w:pPr>
        <w:pStyle w:val="81"/>
        <w:spacing w:before="120" w:beforeAutospacing="0" w:after="120" w:afterAutospacing="0" w:line="360" w:lineRule="auto"/>
        <w:jc w:val="center"/>
        <w:rPr>
          <w:rFonts w:hint="eastAsia" w:ascii="宋体" w:hAnsi="宋体" w:eastAsia="宋体" w:cs="宋体"/>
          <w:b/>
          <w:color w:val="000000"/>
          <w:sz w:val="32"/>
          <w:szCs w:val="32"/>
        </w:rPr>
      </w:pPr>
    </w:p>
    <w:p w14:paraId="566E8ECB">
      <w:pPr>
        <w:pStyle w:val="81"/>
        <w:spacing w:before="120" w:beforeAutospacing="0" w:after="120" w:afterAutospacing="0" w:line="360" w:lineRule="auto"/>
        <w:jc w:val="center"/>
        <w:rPr>
          <w:rFonts w:hint="eastAsia" w:ascii="宋体" w:hAnsi="宋体" w:eastAsia="宋体" w:cs="宋体"/>
          <w:b/>
          <w:color w:val="000000"/>
          <w:sz w:val="32"/>
          <w:szCs w:val="32"/>
        </w:rPr>
      </w:pPr>
    </w:p>
    <w:p w14:paraId="16D0A6CC">
      <w:pPr>
        <w:pStyle w:val="81"/>
        <w:spacing w:before="120" w:beforeAutospacing="0" w:after="120" w:afterAutospacing="0" w:line="360" w:lineRule="auto"/>
        <w:jc w:val="center"/>
        <w:rPr>
          <w:rFonts w:hint="eastAsia" w:ascii="宋体" w:hAnsi="宋体" w:eastAsia="宋体" w:cs="宋体"/>
          <w:b/>
          <w:color w:val="000000"/>
          <w:sz w:val="32"/>
          <w:szCs w:val="32"/>
        </w:rPr>
      </w:pPr>
    </w:p>
    <w:p w14:paraId="0525B1F9">
      <w:pPr>
        <w:pStyle w:val="81"/>
        <w:spacing w:before="120" w:beforeAutospacing="0" w:after="12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项目名称：</w:t>
      </w:r>
      <w:r>
        <w:rPr>
          <w:rFonts w:hint="eastAsia" w:ascii="宋体" w:hAnsi="宋体" w:eastAsia="宋体" w:cs="宋体"/>
          <w:b/>
          <w:color w:val="000000"/>
          <w:sz w:val="32"/>
          <w:szCs w:val="32"/>
          <w:lang w:val="en-US" w:eastAsia="zh-CN"/>
        </w:rPr>
        <w:t>盐阜大众报年度合作项目</w:t>
      </w:r>
    </w:p>
    <w:p w14:paraId="25752B72">
      <w:pPr>
        <w:pStyle w:val="81"/>
        <w:spacing w:before="120" w:beforeAutospacing="0" w:after="120" w:afterAutospacing="0" w:line="360" w:lineRule="auto"/>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项目编号：JSZC-320904-TCGL-D2026-0002</w:t>
      </w:r>
    </w:p>
    <w:p w14:paraId="37764AB7">
      <w:pPr>
        <w:pStyle w:val="81"/>
        <w:spacing w:before="120" w:beforeAutospacing="0" w:after="120" w:afterAutospacing="0" w:line="360" w:lineRule="auto"/>
        <w:ind w:firstLine="2249"/>
        <w:rPr>
          <w:rFonts w:hint="eastAsia" w:ascii="宋体" w:hAnsi="宋体" w:eastAsia="宋体" w:cs="宋体"/>
          <w:color w:val="000000"/>
        </w:rPr>
      </w:pPr>
      <w:r>
        <w:rPr>
          <w:rFonts w:hint="eastAsia" w:ascii="宋体" w:hAnsi="宋体" w:eastAsia="宋体" w:cs="宋体"/>
          <w:color w:val="000000"/>
          <w:sz w:val="21"/>
          <w:szCs w:val="21"/>
        </w:rPr>
        <w:t xml:space="preserve">         </w:t>
      </w:r>
      <w:r>
        <w:rPr>
          <w:rFonts w:hint="eastAsia" w:ascii="宋体" w:hAnsi="宋体" w:eastAsia="宋体" w:cs="宋体"/>
          <w:b/>
          <w:color w:val="000000"/>
          <w:sz w:val="30"/>
          <w:szCs w:val="30"/>
        </w:rPr>
        <w:t xml:space="preserve">     </w:t>
      </w:r>
    </w:p>
    <w:p w14:paraId="4B0F92ED">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p>
    <w:p w14:paraId="7DF339F4">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p>
    <w:p w14:paraId="003B6C65">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p>
    <w:p w14:paraId="69D737E8">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p>
    <w:p w14:paraId="1D09E154">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bookmarkStart w:id="186" w:name="_GoBack"/>
      <w:bookmarkEnd w:id="186"/>
    </w:p>
    <w:p w14:paraId="59E6BF63">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p>
    <w:p w14:paraId="563EF99D">
      <w:pPr>
        <w:pStyle w:val="81"/>
        <w:spacing w:beforeAutospacing="0" w:afterAutospacing="0" w:line="360" w:lineRule="auto"/>
        <w:rPr>
          <w:rFonts w:hint="eastAsia" w:ascii="宋体" w:hAnsi="宋体" w:eastAsia="宋体" w:cs="宋体"/>
          <w:color w:val="000000"/>
        </w:rPr>
      </w:pPr>
    </w:p>
    <w:p w14:paraId="72387ACB">
      <w:pPr>
        <w:pStyle w:val="8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w:t>
      </w:r>
    </w:p>
    <w:p w14:paraId="62D5A912">
      <w:pPr>
        <w:spacing w:line="360" w:lineRule="auto"/>
        <w:jc w:val="center"/>
        <w:rPr>
          <w:rFonts w:hint="eastAsia" w:ascii="宋体" w:hAnsi="宋体" w:eastAsia="宋体" w:cs="宋体"/>
          <w:b/>
          <w:bCs/>
          <w:sz w:val="32"/>
          <w:szCs w:val="32"/>
          <w:lang w:val="en-US" w:eastAsia="zh-CN"/>
        </w:rPr>
      </w:pPr>
    </w:p>
    <w:p w14:paraId="7BD8FD2E">
      <w:pPr>
        <w:spacing w:line="360" w:lineRule="auto"/>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中共盐城市大丰区委宣传部</w:t>
      </w:r>
    </w:p>
    <w:p w14:paraId="0EBEB370">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202</w:t>
      </w:r>
      <w:r>
        <w:rPr>
          <w:rFonts w:hint="eastAsia" w:ascii="宋体" w:hAnsi="宋体" w:eastAsia="宋体" w:cs="宋体"/>
          <w:b/>
          <w:bCs/>
          <w:sz w:val="32"/>
          <w:szCs w:val="32"/>
          <w:lang w:val="en-US" w:eastAsia="zh-CN"/>
        </w:rPr>
        <w:t>6</w:t>
      </w:r>
      <w:r>
        <w:rPr>
          <w:rFonts w:hint="eastAsia" w:ascii="宋体" w:hAnsi="宋体" w:eastAsia="宋体" w:cs="宋体"/>
          <w:b/>
          <w:bCs/>
          <w:sz w:val="32"/>
          <w:szCs w:val="32"/>
        </w:rPr>
        <w:t>年</w:t>
      </w:r>
      <w:r>
        <w:rPr>
          <w:rFonts w:hint="eastAsia" w:ascii="宋体" w:hAnsi="宋体" w:eastAsia="宋体" w:cs="宋体"/>
          <w:b/>
          <w:bCs/>
          <w:sz w:val="32"/>
          <w:szCs w:val="32"/>
          <w:lang w:val="en-US" w:eastAsia="zh-CN"/>
        </w:rPr>
        <w:t>6</w:t>
      </w:r>
      <w:r>
        <w:rPr>
          <w:rFonts w:hint="eastAsia" w:ascii="宋体" w:hAnsi="宋体" w:eastAsia="宋体" w:cs="宋体"/>
          <w:b/>
          <w:bCs/>
          <w:sz w:val="32"/>
          <w:szCs w:val="32"/>
        </w:rPr>
        <w:t>月</w:t>
      </w:r>
    </w:p>
    <w:p w14:paraId="47E1CE6C">
      <w:pPr>
        <w:pStyle w:val="81"/>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p>
    <w:p w14:paraId="7DC91958">
      <w:pPr>
        <w:pStyle w:val="81"/>
        <w:spacing w:before="120" w:beforeAutospacing="0" w:after="120" w:afterAutospacing="0" w:line="360" w:lineRule="auto"/>
        <w:jc w:val="center"/>
        <w:rPr>
          <w:rFonts w:hint="eastAsia" w:ascii="宋体" w:hAnsi="宋体" w:eastAsia="宋体" w:cs="宋体"/>
          <w:color w:val="000000"/>
        </w:rPr>
      </w:pPr>
      <w:r>
        <w:rPr>
          <w:rFonts w:hint="eastAsia" w:ascii="宋体" w:hAnsi="宋体" w:eastAsia="宋体" w:cs="宋体"/>
          <w:color w:val="000000"/>
        </w:rPr>
        <w:t> </w:t>
      </w:r>
    </w:p>
    <w:p w14:paraId="4961A6F7">
      <w:pPr>
        <w:pStyle w:val="81"/>
        <w:spacing w:beforeAutospacing="0" w:afterAutospacing="0" w:line="480" w:lineRule="auto"/>
        <w:jc w:val="center"/>
        <w:rPr>
          <w:rFonts w:hint="eastAsia" w:ascii="宋体" w:hAnsi="宋体" w:eastAsia="宋体" w:cs="宋体"/>
          <w:color w:val="000000"/>
        </w:rPr>
      </w:pPr>
      <w:bookmarkStart w:id="0" w:name="_Toc513029200"/>
      <w:bookmarkStart w:id="1" w:name="_Toc523127445"/>
      <w:bookmarkStart w:id="2" w:name="_Toc16938516"/>
      <w:bookmarkStart w:id="3" w:name="_Toc120614210"/>
      <w:bookmarkStart w:id="4" w:name="_Toc20823272"/>
      <w:bookmarkStart w:id="5" w:name="_Toc479757206"/>
      <w:r>
        <w:rPr>
          <w:rFonts w:hint="eastAsia" w:ascii="宋体" w:hAnsi="宋体" w:eastAsia="宋体" w:cs="宋体"/>
          <w:b/>
          <w:color w:val="000000"/>
          <w:sz w:val="44"/>
          <w:szCs w:val="44"/>
        </w:rPr>
        <w:t>总  目  录</w:t>
      </w:r>
      <w:bookmarkEnd w:id="0"/>
      <w:bookmarkEnd w:id="1"/>
      <w:bookmarkEnd w:id="2"/>
      <w:bookmarkEnd w:id="3"/>
      <w:bookmarkEnd w:id="4"/>
      <w:bookmarkEnd w:id="5"/>
    </w:p>
    <w:p w14:paraId="3B432ECB">
      <w:pPr>
        <w:pStyle w:val="81"/>
        <w:spacing w:beforeAutospacing="0" w:afterAutospacing="0" w:line="480" w:lineRule="auto"/>
        <w:jc w:val="both"/>
        <w:rPr>
          <w:rFonts w:hint="eastAsia" w:ascii="宋体" w:hAnsi="宋体" w:eastAsia="宋体" w:cs="宋体"/>
          <w:color w:val="000000"/>
        </w:rPr>
      </w:pPr>
      <w:r>
        <w:rPr>
          <w:rFonts w:hint="eastAsia" w:ascii="宋体" w:hAnsi="宋体" w:eastAsia="宋体" w:cs="宋体"/>
          <w:color w:val="000000"/>
        </w:rPr>
        <w:t> </w:t>
      </w:r>
    </w:p>
    <w:p w14:paraId="5F23006D">
      <w:pPr>
        <w:pStyle w:val="81"/>
        <w:tabs>
          <w:tab w:val="left" w:pos="1441"/>
        </w:tabs>
        <w:spacing w:beforeAutospacing="0" w:afterAutospacing="0" w:line="480" w:lineRule="auto"/>
        <w:ind w:firstLine="360" w:firstLineChars="100"/>
        <w:jc w:val="both"/>
        <w:rPr>
          <w:rFonts w:hint="eastAsia" w:ascii="宋体" w:hAnsi="宋体" w:eastAsia="黑体" w:cs="宋体"/>
          <w:color w:val="000000"/>
          <w:sz w:val="36"/>
          <w:szCs w:val="36"/>
          <w:lang w:val="en-US" w:eastAsia="zh-CN"/>
        </w:rPr>
      </w:pPr>
      <w:r>
        <w:rPr>
          <w:rFonts w:hint="eastAsia" w:ascii="宋体" w:hAnsi="宋体" w:eastAsia="宋体" w:cs="宋体"/>
          <w:color w:val="000000"/>
          <w:sz w:val="36"/>
          <w:szCs w:val="36"/>
        </w:rPr>
        <w:t>第一章</w:t>
      </w:r>
      <w:r>
        <w:rPr>
          <w:rFonts w:hint="eastAsia" w:ascii="宋体" w:hAnsi="宋体" w:eastAsia="宋体" w:cs="宋体"/>
          <w:color w:val="000000"/>
          <w:sz w:val="36"/>
          <w:szCs w:val="36"/>
          <w:lang w:val="en-US" w:eastAsia="zh-CN"/>
        </w:rPr>
        <w:t xml:space="preserve">  </w:t>
      </w:r>
      <w:r>
        <w:rPr>
          <w:rFonts w:hint="eastAsia" w:ascii="宋体" w:hAnsi="宋体" w:eastAsia="宋体" w:cs="宋体"/>
          <w:color w:val="000000"/>
          <w:sz w:val="36"/>
          <w:szCs w:val="36"/>
        </w:rPr>
        <w:t>单一来源采购邀请</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1</w:t>
      </w:r>
    </w:p>
    <w:p w14:paraId="272279B2">
      <w:pPr>
        <w:pStyle w:val="81"/>
        <w:tabs>
          <w:tab w:val="left" w:pos="1441"/>
        </w:tabs>
        <w:spacing w:beforeAutospacing="0" w:afterAutospacing="0" w:line="480" w:lineRule="auto"/>
        <w:ind w:firstLine="360" w:firstLineChars="100"/>
        <w:jc w:val="both"/>
        <w:rPr>
          <w:rFonts w:hint="eastAsia" w:ascii="宋体" w:hAnsi="宋体" w:eastAsia="宋体" w:cs="宋体"/>
          <w:color w:val="000000"/>
        </w:rPr>
      </w:pPr>
      <w:r>
        <w:rPr>
          <w:rFonts w:hint="eastAsia" w:ascii="宋体" w:hAnsi="宋体" w:eastAsia="宋体" w:cs="宋体"/>
          <w:color w:val="000000"/>
          <w:sz w:val="36"/>
          <w:szCs w:val="36"/>
        </w:rPr>
        <w:t>第二章  供应商须知</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5</w:t>
      </w:r>
      <w:r>
        <w:rPr>
          <w:rFonts w:hint="eastAsia" w:ascii="宋体" w:hAnsi="宋体" w:eastAsia="宋体" w:cs="宋体"/>
          <w:color w:val="000000"/>
          <w:sz w:val="36"/>
          <w:szCs w:val="36"/>
        </w:rPr>
        <w:t xml:space="preserve">  </w:t>
      </w:r>
    </w:p>
    <w:p w14:paraId="4007F979">
      <w:pPr>
        <w:pStyle w:val="81"/>
        <w:tabs>
          <w:tab w:val="left" w:pos="1441"/>
        </w:tabs>
        <w:spacing w:beforeAutospacing="0" w:afterAutospacing="0" w:line="480" w:lineRule="auto"/>
        <w:ind w:firstLine="360" w:firstLineChars="100"/>
        <w:jc w:val="both"/>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rPr>
        <w:t>第三章  合同文本……………………………</w:t>
      </w:r>
      <w:r>
        <w:rPr>
          <w:rFonts w:hint="eastAsia" w:ascii="宋体" w:hAnsi="宋体" w:eastAsia="宋体" w:cs="宋体"/>
          <w:color w:val="000000"/>
          <w:sz w:val="36"/>
          <w:szCs w:val="36"/>
          <w:lang w:val="en-US" w:eastAsia="zh-CN"/>
        </w:rPr>
        <w:t>17</w:t>
      </w:r>
    </w:p>
    <w:p w14:paraId="443ADA2B">
      <w:pPr>
        <w:pStyle w:val="81"/>
        <w:tabs>
          <w:tab w:val="left" w:pos="1441"/>
        </w:tabs>
        <w:spacing w:beforeAutospacing="0" w:afterAutospacing="0" w:line="480" w:lineRule="auto"/>
        <w:ind w:firstLine="360" w:firstLineChars="100"/>
        <w:jc w:val="both"/>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t xml:space="preserve">第四章  </w:t>
      </w:r>
      <w:r>
        <w:rPr>
          <w:rFonts w:hint="eastAsia" w:ascii="宋体" w:hAnsi="宋体" w:eastAsia="宋体" w:cs="宋体"/>
          <w:color w:val="000000"/>
          <w:sz w:val="36"/>
          <w:szCs w:val="36"/>
        </w:rPr>
        <w:t>采购需求……………………………</w:t>
      </w:r>
      <w:r>
        <w:rPr>
          <w:rFonts w:hint="eastAsia" w:ascii="宋体" w:hAnsi="宋体" w:eastAsia="宋体" w:cs="宋体"/>
          <w:color w:val="000000"/>
          <w:sz w:val="36"/>
          <w:szCs w:val="36"/>
          <w:lang w:val="en-US" w:eastAsia="zh-CN"/>
        </w:rPr>
        <w:t>20</w:t>
      </w:r>
    </w:p>
    <w:p w14:paraId="3CE5CB61">
      <w:pPr>
        <w:pStyle w:val="81"/>
        <w:tabs>
          <w:tab w:val="left" w:pos="1441"/>
        </w:tabs>
        <w:spacing w:beforeAutospacing="0" w:afterAutospacing="0" w:line="480" w:lineRule="auto"/>
        <w:ind w:firstLine="360" w:firstLineChars="100"/>
        <w:jc w:val="both"/>
        <w:rPr>
          <w:rFonts w:hint="default" w:ascii="宋体" w:hAnsi="宋体" w:eastAsia="宋体" w:cs="宋体"/>
          <w:color w:val="000000"/>
          <w:sz w:val="36"/>
          <w:szCs w:val="36"/>
          <w:lang w:val="en-US" w:eastAsia="zh-CN"/>
        </w:rPr>
      </w:pPr>
      <w:r>
        <w:rPr>
          <w:rFonts w:hint="eastAsia" w:ascii="宋体" w:hAnsi="宋体" w:eastAsia="宋体" w:cs="宋体"/>
          <w:color w:val="000000"/>
          <w:sz w:val="36"/>
          <w:szCs w:val="36"/>
        </w:rPr>
        <w:t>第</w:t>
      </w:r>
      <w:r>
        <w:rPr>
          <w:rFonts w:hint="eastAsia" w:ascii="宋体" w:hAnsi="宋体" w:eastAsia="宋体" w:cs="宋体"/>
          <w:color w:val="000000"/>
          <w:sz w:val="36"/>
          <w:szCs w:val="36"/>
          <w:lang w:val="en-US" w:eastAsia="zh-CN"/>
        </w:rPr>
        <w:t>五</w:t>
      </w:r>
      <w:r>
        <w:rPr>
          <w:rFonts w:hint="eastAsia" w:ascii="宋体" w:hAnsi="宋体" w:eastAsia="宋体" w:cs="宋体"/>
          <w:color w:val="000000"/>
          <w:sz w:val="36"/>
          <w:szCs w:val="36"/>
        </w:rPr>
        <w:t xml:space="preserve">章  </w:t>
      </w:r>
      <w:r>
        <w:rPr>
          <w:rFonts w:hint="eastAsia" w:ascii="宋体" w:hAnsi="宋体" w:eastAsia="宋体" w:cs="宋体"/>
          <w:color w:val="000000"/>
          <w:sz w:val="36"/>
          <w:szCs w:val="36"/>
          <w:lang w:val="en-US" w:eastAsia="zh-CN"/>
        </w:rPr>
        <w:t>响应</w:t>
      </w:r>
      <w:r>
        <w:rPr>
          <w:rFonts w:hint="eastAsia" w:ascii="宋体" w:hAnsi="宋体" w:eastAsia="宋体" w:cs="宋体"/>
          <w:color w:val="000000"/>
          <w:sz w:val="36"/>
          <w:szCs w:val="36"/>
        </w:rPr>
        <w:t>文件格式………………………</w:t>
      </w:r>
      <w:r>
        <w:rPr>
          <w:rFonts w:hint="eastAsia" w:ascii="宋体" w:hAnsi="宋体" w:eastAsia="宋体" w:cs="宋体"/>
          <w:color w:val="000000"/>
          <w:sz w:val="36"/>
          <w:szCs w:val="36"/>
          <w:lang w:val="en-US" w:eastAsia="zh-CN"/>
        </w:rPr>
        <w:t>24</w:t>
      </w:r>
    </w:p>
    <w:p w14:paraId="5F957764">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2BDD85F">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6F5FA024">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251D201C">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0D887B1">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2ECB2E76">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0F68A427">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3558DA2">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0FE37927">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8D32C92">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6321DF4B">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0AFC26F8">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885FAE6">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09646F35">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39C580D8">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8651EB3">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673D834F">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5CDDC8F9">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0211C2B">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00734889">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433F1296">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6C5287A1">
      <w:pPr>
        <w:pStyle w:val="81"/>
        <w:spacing w:beforeAutospacing="0" w:afterAutospacing="0"/>
        <w:jc w:val="both"/>
        <w:rPr>
          <w:rFonts w:hint="eastAsia" w:ascii="宋体" w:hAnsi="宋体" w:eastAsia="宋体" w:cs="宋体"/>
          <w:color w:val="000000"/>
        </w:rPr>
      </w:pPr>
      <w:r>
        <w:rPr>
          <w:rFonts w:hint="eastAsia" w:ascii="宋体" w:hAnsi="宋体" w:eastAsia="宋体" w:cs="宋体"/>
          <w:color w:val="000000"/>
        </w:rPr>
        <w:t> </w:t>
      </w:r>
    </w:p>
    <w:p w14:paraId="610AFCFB">
      <w:pPr>
        <w:pStyle w:val="81"/>
        <w:spacing w:beforeAutospacing="0" w:afterAutospacing="0"/>
        <w:jc w:val="center"/>
        <w:rPr>
          <w:rFonts w:hint="eastAsia" w:ascii="黑体" w:hAnsi="黑体" w:eastAsia="黑体" w:cs="黑体"/>
          <w:b/>
          <w:bCs/>
          <w:color w:val="000000"/>
          <w:sz w:val="44"/>
          <w:szCs w:val="44"/>
        </w:rPr>
        <w:sectPr>
          <w:pgSz w:w="11906" w:h="16838"/>
          <w:pgMar w:top="1440" w:right="1800" w:bottom="1440" w:left="1800" w:header="851" w:footer="992" w:gutter="0"/>
          <w:pgNumType w:fmt="decimal"/>
          <w:cols w:space="425" w:num="1"/>
          <w:docGrid w:type="lines" w:linePitch="312" w:charSpace="0"/>
        </w:sectPr>
      </w:pPr>
      <w:bookmarkStart w:id="6" w:name="_Toc28359086"/>
    </w:p>
    <w:p w14:paraId="3196F60D">
      <w:pPr>
        <w:pStyle w:val="81"/>
        <w:spacing w:beforeAutospacing="0" w:afterAutospacing="0"/>
        <w:jc w:val="center"/>
        <w:rPr>
          <w:rFonts w:hint="eastAsia" w:ascii="黑体" w:hAnsi="黑体" w:eastAsia="黑体" w:cs="黑体"/>
          <w:color w:val="000000"/>
          <w:sz w:val="44"/>
          <w:szCs w:val="44"/>
        </w:rPr>
      </w:pPr>
      <w:r>
        <w:rPr>
          <w:rFonts w:hint="eastAsia" w:ascii="黑体" w:hAnsi="黑体" w:eastAsia="黑体" w:cs="黑体"/>
          <w:b/>
          <w:bCs/>
          <w:color w:val="000000"/>
          <w:sz w:val="44"/>
          <w:szCs w:val="44"/>
        </w:rPr>
        <w:t>第一章</w:t>
      </w:r>
      <w:bookmarkStart w:id="7" w:name="OLE_LINK8"/>
      <w:r>
        <w:rPr>
          <w:rFonts w:hint="eastAsia" w:ascii="黑体" w:hAnsi="黑体" w:eastAsia="黑体" w:cs="黑体"/>
          <w:b/>
          <w:bCs/>
          <w:color w:val="000000"/>
          <w:sz w:val="44"/>
          <w:szCs w:val="44"/>
          <w:lang w:val="en-US" w:eastAsia="zh-CN"/>
        </w:rPr>
        <w:t xml:space="preserve">  </w:t>
      </w:r>
      <w:r>
        <w:rPr>
          <w:rFonts w:hint="eastAsia" w:ascii="黑体" w:hAnsi="黑体" w:eastAsia="黑体" w:cs="黑体"/>
          <w:b/>
          <w:bCs/>
          <w:color w:val="000000"/>
          <w:sz w:val="44"/>
          <w:szCs w:val="44"/>
        </w:rPr>
        <w:t>单一来源采购邀请</w:t>
      </w:r>
    </w:p>
    <w:p w14:paraId="619E0DD6">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受</w:t>
      </w:r>
      <w:r>
        <w:rPr>
          <w:rFonts w:hint="eastAsia" w:ascii="宋体" w:hAnsi="宋体" w:eastAsia="宋体" w:cs="宋体"/>
          <w:color w:val="000000"/>
          <w:sz w:val="24"/>
          <w:szCs w:val="24"/>
          <w:u w:val="single"/>
          <w:lang w:val="en-US" w:eastAsia="zh-CN"/>
        </w:rPr>
        <w:t>中共盐城市大丰区委宣传部</w:t>
      </w:r>
      <w:r>
        <w:rPr>
          <w:rFonts w:hint="eastAsia" w:ascii="宋体" w:hAnsi="宋体" w:eastAsia="宋体" w:cs="宋体"/>
          <w:color w:val="000000"/>
          <w:sz w:val="24"/>
          <w:szCs w:val="24"/>
        </w:rPr>
        <w:t>的委托，</w:t>
      </w:r>
      <w:r>
        <w:rPr>
          <w:rFonts w:hint="eastAsia" w:ascii="宋体" w:hAnsi="宋体" w:eastAsia="宋体" w:cs="宋体"/>
          <w:color w:val="000000"/>
          <w:sz w:val="24"/>
          <w:szCs w:val="24"/>
          <w:u w:val="single"/>
          <w:lang w:eastAsia="zh-CN"/>
        </w:rPr>
        <w:t>盐城市泰诚项目管理有限公司</w:t>
      </w:r>
      <w:r>
        <w:rPr>
          <w:rFonts w:hint="eastAsia" w:ascii="宋体" w:hAnsi="宋体" w:eastAsia="宋体" w:cs="宋体"/>
          <w:color w:val="000000"/>
          <w:sz w:val="24"/>
          <w:szCs w:val="24"/>
        </w:rPr>
        <w:t>就</w:t>
      </w:r>
      <w:r>
        <w:rPr>
          <w:rFonts w:hint="eastAsia" w:ascii="宋体" w:hAnsi="宋体" w:eastAsia="宋体" w:cs="宋体"/>
          <w:color w:val="000000"/>
          <w:sz w:val="24"/>
          <w:szCs w:val="24"/>
          <w:u w:val="single"/>
          <w:lang w:val="en-US" w:eastAsia="zh-CN"/>
        </w:rPr>
        <w:t>盐阜大众报年度合作项目</w:t>
      </w:r>
      <w:r>
        <w:rPr>
          <w:rFonts w:hint="eastAsia" w:ascii="宋体" w:hAnsi="宋体" w:eastAsia="宋体" w:cs="宋体"/>
          <w:color w:val="000000"/>
          <w:sz w:val="24"/>
          <w:szCs w:val="24"/>
        </w:rPr>
        <w:t>(项目编号：JSZC-320904-TCGL-D2026-</w:t>
      </w:r>
      <w:r>
        <w:rPr>
          <w:rFonts w:hint="eastAsia" w:ascii="宋体" w:hAnsi="宋体" w:eastAsia="宋体" w:cs="宋体"/>
          <w:color w:val="000000"/>
          <w:sz w:val="24"/>
          <w:szCs w:val="24"/>
          <w:lang w:eastAsia="zh-CN"/>
        </w:rPr>
        <w:t>0002</w:t>
      </w:r>
      <w:r>
        <w:rPr>
          <w:rFonts w:hint="eastAsia" w:ascii="宋体" w:hAnsi="宋体" w:eastAsia="宋体" w:cs="宋体"/>
          <w:color w:val="000000"/>
          <w:sz w:val="24"/>
          <w:szCs w:val="24"/>
        </w:rPr>
        <w:t>)项目进行单一来源采购，欢迎符合相关条件的</w:t>
      </w:r>
      <w:r>
        <w:rPr>
          <w:rFonts w:hint="eastAsia" w:ascii="宋体" w:hAnsi="宋体" w:eastAsia="宋体" w:cs="宋体"/>
          <w:color w:val="auto"/>
          <w:sz w:val="24"/>
          <w:szCs w:val="24"/>
          <w:highlight w:val="none"/>
          <w:shd w:val="clear" w:color="auto" w:fill="auto"/>
        </w:rPr>
        <w:t>合格供应商</w:t>
      </w:r>
      <w:r>
        <w:rPr>
          <w:rFonts w:hint="eastAsia" w:ascii="宋体" w:hAnsi="宋体" w:eastAsia="宋体" w:cs="宋体"/>
          <w:color w:val="000000"/>
          <w:sz w:val="24"/>
          <w:szCs w:val="24"/>
        </w:rPr>
        <w:t>参加采购活动。</w:t>
      </w:r>
    </w:p>
    <w:p w14:paraId="05FBC59E">
      <w:pPr>
        <w:pStyle w:val="81"/>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宋体" w:hAnsi="宋体" w:eastAsia="宋体" w:cs="宋体"/>
          <w:b/>
          <w:color w:val="000000"/>
          <w:sz w:val="24"/>
          <w:szCs w:val="24"/>
        </w:rPr>
      </w:pPr>
      <w:bookmarkStart w:id="8" w:name="_Toc35393621"/>
      <w:bookmarkStart w:id="9" w:name="_Toc28359002"/>
      <w:bookmarkStart w:id="10" w:name="_Toc35393790"/>
      <w:bookmarkStart w:id="11" w:name="_Hlk24379207"/>
      <w:bookmarkStart w:id="12" w:name="_Toc28359079"/>
      <w:bookmarkStart w:id="13" w:name="_Toc38985263"/>
      <w:r>
        <w:rPr>
          <w:rFonts w:hint="eastAsia" w:ascii="宋体" w:hAnsi="宋体" w:eastAsia="宋体" w:cs="宋体"/>
          <w:b/>
          <w:color w:val="000000"/>
          <w:sz w:val="24"/>
          <w:szCs w:val="24"/>
        </w:rPr>
        <w:t>一、项目基本情况</w:t>
      </w:r>
      <w:bookmarkEnd w:id="8"/>
      <w:bookmarkEnd w:id="9"/>
      <w:bookmarkEnd w:id="10"/>
      <w:bookmarkEnd w:id="11"/>
      <w:bookmarkEnd w:id="12"/>
      <w:bookmarkEnd w:id="13"/>
    </w:p>
    <w:p w14:paraId="1C3E84F0">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lang w:eastAsia="zh-CN"/>
        </w:rPr>
      </w:pPr>
      <w:bookmarkStart w:id="14" w:name="OLE_LINK4"/>
      <w:bookmarkStart w:id="15" w:name="_Toc28359003"/>
      <w:bookmarkStart w:id="16" w:name="_Toc35393622"/>
      <w:bookmarkStart w:id="17" w:name="_Toc38985264"/>
      <w:bookmarkStart w:id="18" w:name="_Toc28359080"/>
      <w:bookmarkStart w:id="19" w:name="_Toc35393791"/>
      <w:r>
        <w:rPr>
          <w:rFonts w:hint="eastAsia" w:ascii="宋体" w:hAnsi="宋体" w:eastAsia="宋体" w:cs="宋体"/>
          <w:color w:val="000000"/>
          <w:sz w:val="24"/>
          <w:szCs w:val="24"/>
        </w:rPr>
        <w:t>1.项目编号：JSZC-320904-TCGL-D2026-</w:t>
      </w:r>
      <w:r>
        <w:rPr>
          <w:rFonts w:hint="eastAsia" w:ascii="宋体" w:hAnsi="宋体" w:eastAsia="宋体" w:cs="宋体"/>
          <w:color w:val="000000"/>
          <w:sz w:val="24"/>
          <w:szCs w:val="24"/>
          <w:lang w:eastAsia="zh-CN"/>
        </w:rPr>
        <w:t>0002</w:t>
      </w:r>
    </w:p>
    <w:p w14:paraId="41C47F86">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2.项目名称：</w:t>
      </w:r>
      <w:r>
        <w:rPr>
          <w:rFonts w:hint="eastAsia" w:ascii="宋体" w:hAnsi="宋体" w:eastAsia="宋体" w:cs="宋体"/>
          <w:color w:val="000000"/>
          <w:sz w:val="24"/>
          <w:szCs w:val="24"/>
          <w:lang w:val="en-US" w:eastAsia="zh-CN"/>
        </w:rPr>
        <w:t>盐阜大众报年度合作项目</w:t>
      </w:r>
    </w:p>
    <w:p w14:paraId="383989C2">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3.采购方式：单一来源采购</w:t>
      </w:r>
    </w:p>
    <w:p w14:paraId="7B98FC64">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FFFFFF"/>
        </w:rPr>
        <w:t>4.</w:t>
      </w:r>
      <w:bookmarkStart w:id="20" w:name="OLE_LINK10"/>
      <w:r>
        <w:rPr>
          <w:rFonts w:hint="eastAsia" w:ascii="宋体" w:hAnsi="宋体" w:eastAsia="宋体" w:cs="宋体"/>
          <w:color w:val="000000"/>
          <w:sz w:val="24"/>
          <w:szCs w:val="24"/>
          <w:shd w:val="clear" w:color="auto" w:fill="FFFFFF"/>
        </w:rPr>
        <w:t>预算金额：</w:t>
      </w:r>
      <w:r>
        <w:rPr>
          <w:rFonts w:hint="eastAsia" w:ascii="宋体" w:hAnsi="宋体" w:eastAsia="宋体" w:cs="宋体"/>
          <w:color w:val="000000"/>
          <w:sz w:val="24"/>
          <w:szCs w:val="24"/>
          <w:shd w:val="clear" w:color="auto" w:fill="FFFFFF"/>
          <w:lang w:val="en-US" w:eastAsia="zh-CN"/>
        </w:rPr>
        <w:t>100</w:t>
      </w:r>
      <w:r>
        <w:rPr>
          <w:rFonts w:hint="eastAsia" w:ascii="宋体" w:hAnsi="宋体" w:eastAsia="宋体" w:cs="宋体"/>
          <w:color w:val="000000"/>
          <w:sz w:val="24"/>
          <w:szCs w:val="24"/>
          <w:shd w:val="clear" w:color="auto" w:fill="FFFFFF"/>
        </w:rPr>
        <w:t>万元</w:t>
      </w:r>
    </w:p>
    <w:p w14:paraId="7756F569">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FFFFFF"/>
        </w:rPr>
        <w:t>5.最高限价：</w:t>
      </w:r>
      <w:r>
        <w:rPr>
          <w:rFonts w:hint="eastAsia" w:ascii="宋体" w:hAnsi="宋体" w:eastAsia="宋体" w:cs="宋体"/>
          <w:color w:val="000000"/>
          <w:sz w:val="24"/>
          <w:szCs w:val="24"/>
          <w:shd w:val="clear" w:color="auto" w:fill="FFFFFF"/>
          <w:lang w:val="en-US" w:eastAsia="zh-CN"/>
        </w:rPr>
        <w:t>100</w:t>
      </w:r>
      <w:r>
        <w:rPr>
          <w:rFonts w:hint="eastAsia" w:ascii="宋体" w:hAnsi="宋体" w:eastAsia="宋体" w:cs="宋体"/>
          <w:color w:val="000000"/>
          <w:sz w:val="24"/>
          <w:szCs w:val="24"/>
          <w:shd w:val="clear" w:color="auto" w:fill="FFFFFF"/>
        </w:rPr>
        <w:t>万元</w:t>
      </w:r>
      <w:bookmarkEnd w:id="20"/>
    </w:p>
    <w:p w14:paraId="0618BCE1">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b/>
          <w:bCs/>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rPr>
        <w:t>6.采购需求（简介）：</w:t>
      </w:r>
      <w:r>
        <w:rPr>
          <w:rFonts w:hint="eastAsia" w:ascii="宋体" w:hAnsi="宋体" w:eastAsia="宋体" w:cs="宋体"/>
          <w:color w:val="000000"/>
          <w:sz w:val="24"/>
          <w:szCs w:val="24"/>
          <w:lang w:val="en-US" w:eastAsia="zh-CN"/>
        </w:rPr>
        <w:t>盐阜大众报年度合作项目</w:t>
      </w:r>
      <w:r>
        <w:rPr>
          <w:rFonts w:hint="eastAsia" w:ascii="宋体" w:hAnsi="宋体" w:eastAsia="宋体" w:cs="宋体"/>
          <w:b w:val="0"/>
          <w:bCs w:val="0"/>
          <w:color w:val="000000"/>
          <w:sz w:val="24"/>
          <w:szCs w:val="24"/>
          <w:shd w:val="clear" w:color="auto" w:fill="FFFFFF"/>
          <w:lang w:val="zh-CN"/>
        </w:rPr>
        <w:t>，具体详见</w:t>
      </w:r>
      <w:r>
        <w:rPr>
          <w:rFonts w:hint="eastAsia" w:ascii="宋体" w:hAnsi="宋体" w:eastAsia="宋体" w:cs="宋体"/>
          <w:b w:val="0"/>
          <w:bCs w:val="0"/>
          <w:color w:val="000000"/>
          <w:sz w:val="24"/>
          <w:szCs w:val="24"/>
          <w:shd w:val="clear" w:color="auto" w:fill="FFFFFF"/>
          <w:lang w:val="en-US" w:eastAsia="zh-CN"/>
        </w:rPr>
        <w:t>采购需求。</w:t>
      </w:r>
    </w:p>
    <w:p w14:paraId="6C78244B">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7.合同履行期限：</w:t>
      </w:r>
      <w:r>
        <w:rPr>
          <w:rFonts w:hint="eastAsia" w:ascii="宋体" w:hAnsi="宋体" w:eastAsia="宋体" w:cs="宋体"/>
          <w:color w:val="000000"/>
          <w:sz w:val="24"/>
          <w:szCs w:val="24"/>
          <w:shd w:val="clear" w:color="auto" w:fill="FFFFFF"/>
          <w:lang w:val="en-US" w:eastAsia="zh-CN"/>
        </w:rPr>
        <w:t>1年</w:t>
      </w:r>
      <w:r>
        <w:rPr>
          <w:rFonts w:hint="eastAsia" w:ascii="宋体" w:hAnsi="宋体" w:eastAsia="宋体" w:cs="宋体"/>
          <w:color w:val="000000"/>
          <w:sz w:val="24"/>
          <w:szCs w:val="24"/>
          <w:shd w:val="clear" w:color="auto" w:fill="FFFFFF"/>
        </w:rPr>
        <w:t>。</w:t>
      </w:r>
    </w:p>
    <w:p w14:paraId="70BE34AA">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FFFFFF"/>
        </w:rPr>
        <w:t>8.本项目不接受联合体参与单一来源采购活动。</w:t>
      </w:r>
      <w:bookmarkEnd w:id="14"/>
    </w:p>
    <w:p w14:paraId="56A01172">
      <w:pPr>
        <w:pStyle w:val="81"/>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rPr>
        <w:t>二、</w:t>
      </w:r>
      <w:bookmarkEnd w:id="15"/>
      <w:bookmarkEnd w:id="16"/>
      <w:bookmarkEnd w:id="17"/>
      <w:bookmarkEnd w:id="18"/>
      <w:bookmarkEnd w:id="19"/>
      <w:r>
        <w:rPr>
          <w:rFonts w:hint="eastAsia" w:ascii="宋体" w:hAnsi="宋体" w:eastAsia="宋体" w:cs="宋体"/>
          <w:b/>
          <w:color w:val="000000"/>
          <w:sz w:val="24"/>
          <w:szCs w:val="24"/>
        </w:rPr>
        <w:t>合格单一来</w:t>
      </w:r>
      <w:r>
        <w:rPr>
          <w:rFonts w:hint="eastAsia" w:ascii="宋体" w:hAnsi="宋体" w:eastAsia="宋体" w:cs="宋体"/>
          <w:b/>
          <w:bCs w:val="0"/>
          <w:color w:val="000000"/>
          <w:sz w:val="24"/>
          <w:szCs w:val="24"/>
        </w:rPr>
        <w:t>源</w:t>
      </w:r>
      <w:r>
        <w:rPr>
          <w:rFonts w:hint="eastAsia" w:ascii="宋体" w:hAnsi="宋体" w:eastAsia="宋体" w:cs="宋体"/>
          <w:b/>
          <w:bCs w:val="0"/>
          <w:color w:val="auto"/>
          <w:sz w:val="24"/>
          <w:szCs w:val="24"/>
          <w:highlight w:val="none"/>
          <w:shd w:val="clear" w:color="auto" w:fill="auto"/>
        </w:rPr>
        <w:t>供应商</w:t>
      </w:r>
      <w:r>
        <w:rPr>
          <w:rFonts w:hint="eastAsia" w:ascii="宋体" w:hAnsi="宋体" w:eastAsia="宋体" w:cs="宋体"/>
          <w:b/>
          <w:bCs w:val="0"/>
          <w:color w:val="000000"/>
          <w:sz w:val="24"/>
          <w:szCs w:val="24"/>
        </w:rPr>
        <w:t>资格要</w:t>
      </w:r>
      <w:r>
        <w:rPr>
          <w:rFonts w:hint="eastAsia" w:ascii="宋体" w:hAnsi="宋体" w:eastAsia="宋体" w:cs="宋体"/>
          <w:b/>
          <w:color w:val="000000"/>
          <w:sz w:val="24"/>
          <w:szCs w:val="24"/>
        </w:rPr>
        <w:t>求</w:t>
      </w:r>
    </w:p>
    <w:p w14:paraId="24550C0D">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13EE01E6">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2B42B3C1">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1.2上一年度的财务状况报表（成立不满一年无需提供）；</w:t>
      </w:r>
    </w:p>
    <w:p w14:paraId="487302E6">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451A448F">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1F167B4">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2ACC13F3">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5F17345A">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4BD066C">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115C8D42">
      <w:pPr>
        <w:pStyle w:val="29"/>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w:t>
      </w:r>
      <w:r>
        <w:rPr>
          <w:rFonts w:hint="eastAsia" w:ascii="宋体" w:hAnsi="宋体" w:eastAsia="宋体" w:cs="宋体"/>
          <w:color w:val="auto"/>
          <w:sz w:val="24"/>
          <w:szCs w:val="24"/>
          <w:highlight w:val="none"/>
          <w:shd w:val="clear" w:color="auto" w:fill="auto"/>
          <w:lang w:val="en-US" w:eastAsia="zh-CN"/>
        </w:rPr>
        <w:t>无</w:t>
      </w:r>
      <w:r>
        <w:rPr>
          <w:rFonts w:hint="eastAsia" w:ascii="宋体" w:hAnsi="宋体" w:eastAsia="宋体" w:cs="宋体"/>
          <w:color w:val="auto"/>
          <w:sz w:val="24"/>
          <w:szCs w:val="24"/>
          <w:highlight w:val="none"/>
          <w:shd w:val="clear" w:color="auto" w:fill="auto"/>
        </w:rPr>
        <w:t>。</w:t>
      </w:r>
    </w:p>
    <w:p w14:paraId="46BF280C">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00" w:lineRule="exact"/>
        <w:ind w:right="0" w:firstLine="480" w:firstLineChars="200"/>
        <w:jc w:val="both"/>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无。</w:t>
      </w:r>
    </w:p>
    <w:p w14:paraId="4AEAF992">
      <w:pPr>
        <w:pStyle w:val="81"/>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三、获取单一来源文件</w:t>
      </w:r>
      <w:bookmarkStart w:id="21" w:name="_Toc35393624"/>
      <w:bookmarkStart w:id="22" w:name="_Toc38985266"/>
      <w:bookmarkStart w:id="23" w:name="_Toc28359005"/>
      <w:bookmarkStart w:id="24" w:name="_Toc35393793"/>
      <w:bookmarkStart w:id="25" w:name="_Toc28359082"/>
    </w:p>
    <w:p w14:paraId="7D64D965">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1.时间：</w:t>
      </w:r>
      <w:r>
        <w:rPr>
          <w:rFonts w:hint="eastAsia" w:ascii="宋体" w:hAnsi="宋体" w:eastAsia="宋体" w:cs="宋体"/>
          <w:color w:val="000000"/>
          <w:sz w:val="24"/>
          <w:szCs w:val="24"/>
          <w:lang w:val="en-US" w:eastAsia="zh-CN"/>
        </w:rPr>
        <w:t>自采购文件在苏采云系统发布之日起至投标截止时间前。</w:t>
      </w:r>
    </w:p>
    <w:p w14:paraId="3FE7E4A2">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2.地点：“苏采云”系统内免费下载（</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lang w:val="en-US" w:eastAsia="zh-CN"/>
        </w:rPr>
        <w:t>必须在苏采云系统中获取采购文件，方能参与政府采购项目）。</w:t>
      </w:r>
    </w:p>
    <w:p w14:paraId="1CD7F0EF">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3.方式：本项目采用网上注册登记方式。 </w:t>
      </w:r>
    </w:p>
    <w:p w14:paraId="1222EE16">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4.售价：0元。</w:t>
      </w:r>
    </w:p>
    <w:p w14:paraId="0C9ABEDB">
      <w:pPr>
        <w:pStyle w:val="81"/>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lang w:val="en-US" w:eastAsia="zh-CN"/>
        </w:rPr>
        <w:t>四</w:t>
      </w:r>
      <w:r>
        <w:rPr>
          <w:rFonts w:hint="eastAsia" w:ascii="宋体" w:hAnsi="宋体" w:eastAsia="宋体" w:cs="宋体"/>
          <w:b/>
          <w:color w:val="000000"/>
          <w:sz w:val="24"/>
          <w:szCs w:val="24"/>
        </w:rPr>
        <w:t>、提交</w:t>
      </w:r>
      <w:bookmarkEnd w:id="21"/>
      <w:bookmarkEnd w:id="22"/>
      <w:r>
        <w:rPr>
          <w:rFonts w:hint="eastAsia" w:ascii="宋体" w:hAnsi="宋体" w:eastAsia="宋体" w:cs="宋体"/>
          <w:b/>
          <w:color w:val="000000"/>
          <w:sz w:val="24"/>
          <w:szCs w:val="24"/>
        </w:rPr>
        <w:t>投标文件截止时间</w:t>
      </w:r>
      <w:bookmarkEnd w:id="23"/>
      <w:bookmarkEnd w:id="24"/>
      <w:bookmarkEnd w:id="25"/>
    </w:p>
    <w:p w14:paraId="487BD437">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lang w:val="en-US" w:eastAsia="zh-CN"/>
        </w:rPr>
      </w:pPr>
      <w:bookmarkStart w:id="26" w:name="_Toc35393796"/>
      <w:bookmarkStart w:id="27" w:name="_Toc35393627"/>
      <w:bookmarkStart w:id="28" w:name="_Toc28359008"/>
      <w:bookmarkStart w:id="29" w:name="_Toc38985269"/>
      <w:bookmarkStart w:id="30" w:name="_Toc28359085"/>
      <w:r>
        <w:rPr>
          <w:rFonts w:hint="eastAsia" w:ascii="宋体" w:hAnsi="宋体" w:eastAsia="宋体" w:cs="宋体"/>
          <w:color w:val="000000"/>
          <w:sz w:val="24"/>
          <w:szCs w:val="24"/>
          <w:lang w:val="en-US" w:eastAsia="zh-CN"/>
        </w:rPr>
        <w:t>1.截止时间：2026年 6 月 10 日 15 点00分（北京时间）。</w:t>
      </w:r>
    </w:p>
    <w:p w14:paraId="077143D5">
      <w:pPr>
        <w:pStyle w:val="81"/>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2.地点：苏采云“不见面”开标大厅。</w:t>
      </w:r>
    </w:p>
    <w:p w14:paraId="6A3A79FB">
      <w:pPr>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五</w:t>
      </w:r>
      <w:r>
        <w:rPr>
          <w:rFonts w:hint="eastAsia" w:ascii="宋体" w:hAnsi="宋体" w:eastAsia="宋体" w:cs="宋体"/>
          <w:b/>
          <w:color w:val="000000"/>
          <w:sz w:val="24"/>
          <w:szCs w:val="24"/>
        </w:rPr>
        <w:t>、其他</w:t>
      </w:r>
      <w:bookmarkEnd w:id="26"/>
      <w:bookmarkEnd w:id="27"/>
      <w:bookmarkEnd w:id="28"/>
      <w:bookmarkEnd w:id="29"/>
      <w:bookmarkEnd w:id="30"/>
    </w:p>
    <w:p w14:paraId="6E985EF8">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lang w:val="en-US" w:eastAsia="zh-CN"/>
        </w:rPr>
        <w:t>通过苏采云系统参与政府采购项目，需要更换CA数字证书和电子签章。具体办理指南和操作手册：在盐城市政府采购网点击【办事指南】-【供应商参与政府采购活动相关资料】。</w:t>
      </w:r>
    </w:p>
    <w:p w14:paraId="6456A294">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color w:val="auto"/>
          <w:sz w:val="24"/>
          <w:szCs w:val="24"/>
          <w:highlight w:val="none"/>
          <w:shd w:val="clear" w:color="auto" w:fill="auto"/>
          <w:lang w:val="en-US" w:eastAsia="zh-CN"/>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AD9AF15">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2.潜在供应商访问电子招标响应交易平台的网络地址和方法：</w:t>
      </w:r>
    </w:p>
    <w:p w14:paraId="364A14EC">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655F5A10">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 潜在</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lang w:val="en-US" w:eastAsia="zh-CN"/>
        </w:rPr>
        <w:t>访问“苏采云”系统方法：江苏省政府采购网首页-“苏采云”链接。</w:t>
      </w:r>
    </w:p>
    <w:p w14:paraId="33550D7A">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2.3 采购文件（后缀名为“.kedt”）、供应商操作手册及政府采购客户端工具可通过“苏采云”系统相应链接进行下载。</w:t>
      </w:r>
    </w:p>
    <w:p w14:paraId="2DBC8056">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2.4 采购代理机构将数据电文形式的采购文件加载至“苏采云”系统，供潜在供应商下载或者查阅。</w:t>
      </w:r>
    </w:p>
    <w:p w14:paraId="00E7AF5D">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2.5 请潜在投标单位提前安装相应的控件（详见《“苏采云”系统供应商操作手册》）并使用谷歌浏览器登录“苏采云”系统参与不见面开评标。</w:t>
      </w:r>
    </w:p>
    <w:p w14:paraId="07315E58">
      <w:pPr>
        <w:pStyle w:val="29"/>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如潜在</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lang w:val="en-US" w:eastAsia="zh-CN"/>
        </w:rPr>
        <w:t>未按上述要求操作，将自行承担所产生的风险。</w:t>
      </w:r>
    </w:p>
    <w:p w14:paraId="48C52E53">
      <w:pPr>
        <w:pStyle w:val="39"/>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rPr>
      </w:pPr>
      <w:r>
        <w:rPr>
          <w:rFonts w:hint="eastAsia" w:cs="宋体"/>
          <w:b w:val="0"/>
          <w:bCs w:val="0"/>
          <w:color w:val="auto"/>
          <w:kern w:val="0"/>
          <w:sz w:val="24"/>
          <w:szCs w:val="24"/>
          <w:highlight w:val="none"/>
          <w:shd w:val="clear" w:color="auto" w:fill="auto"/>
          <w:lang w:val="en-US" w:eastAsia="zh-CN" w:bidi="ar-SA"/>
        </w:rPr>
        <w:t>3</w:t>
      </w:r>
      <w:r>
        <w:rPr>
          <w:rFonts w:hint="eastAsia" w:ascii="宋体" w:hAnsi="宋体" w:eastAsia="宋体" w:cs="宋体"/>
          <w:b w:val="0"/>
          <w:bCs w:val="0"/>
          <w:color w:val="auto"/>
          <w:kern w:val="0"/>
          <w:sz w:val="24"/>
          <w:szCs w:val="24"/>
          <w:highlight w:val="none"/>
          <w:shd w:val="clear" w:color="auto" w:fill="auto"/>
          <w:lang w:val="en-US" w:eastAsia="zh-CN" w:bidi="ar-SA"/>
        </w:rPr>
        <w:t>.本次招标不收取投标保证金，不收取质量保证金。</w:t>
      </w:r>
      <w:r>
        <w:rPr>
          <w:rFonts w:hint="eastAsia" w:ascii="宋体" w:hAnsi="宋体" w:eastAsia="宋体" w:cs="宋体"/>
          <w:color w:val="000000"/>
          <w:sz w:val="24"/>
          <w:szCs w:val="24"/>
        </w:rPr>
        <w:t> </w:t>
      </w:r>
    </w:p>
    <w:p w14:paraId="4DAAAD0F">
      <w:pPr>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六、凡对本次采购提出询问，请按以下方式联系。</w:t>
      </w:r>
    </w:p>
    <w:p w14:paraId="60025F98">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1.采购人信息</w:t>
      </w:r>
    </w:p>
    <w:p w14:paraId="61B5DC40">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名 称：</w:t>
      </w:r>
      <w:r>
        <w:rPr>
          <w:rFonts w:hint="eastAsia" w:ascii="宋体" w:hAnsi="宋体" w:eastAsia="宋体" w:cs="宋体"/>
          <w:color w:val="000000"/>
          <w:sz w:val="24"/>
          <w:szCs w:val="24"/>
          <w:shd w:val="clear" w:color="auto" w:fill="FFFFFF"/>
          <w:lang w:val="en-US" w:eastAsia="zh-CN"/>
        </w:rPr>
        <w:t>中共盐城市大丰区委宣传部</w:t>
      </w:r>
      <w:r>
        <w:rPr>
          <w:rFonts w:hint="eastAsia" w:ascii="宋体" w:hAnsi="宋体" w:eastAsia="宋体" w:cs="宋体"/>
          <w:color w:val="000000"/>
          <w:sz w:val="24"/>
          <w:szCs w:val="24"/>
          <w:shd w:val="clear" w:color="auto" w:fill="FFFFFF"/>
        </w:rPr>
        <w:t xml:space="preserve">  </w:t>
      </w:r>
    </w:p>
    <w:p w14:paraId="5C6053FE">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rPr>
        <w:t>地址：</w:t>
      </w:r>
      <w:r>
        <w:rPr>
          <w:rFonts w:hint="default" w:ascii="宋体" w:hAnsi="宋体" w:eastAsia="宋体" w:cs="宋体"/>
          <w:i w:val="0"/>
          <w:iCs w:val="0"/>
          <w:caps w:val="0"/>
          <w:color w:val="000000"/>
          <w:spacing w:val="0"/>
          <w:sz w:val="24"/>
          <w:szCs w:val="24"/>
          <w:shd w:val="clear" w:fill="FFFFFF"/>
          <w:lang w:val="en-US" w:eastAsia="zh-CN"/>
        </w:rPr>
        <w:t>盐城市大丰区大华东路1号</w:t>
      </w:r>
    </w:p>
    <w:p w14:paraId="6151F1B9">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联系人：</w:t>
      </w:r>
      <w:r>
        <w:rPr>
          <w:rFonts w:hint="eastAsia" w:ascii="宋体" w:hAnsi="宋体" w:eastAsia="宋体" w:cs="宋体"/>
          <w:color w:val="000000"/>
          <w:sz w:val="24"/>
          <w:szCs w:val="24"/>
          <w:shd w:val="clear" w:color="auto" w:fill="FFFFFF"/>
          <w:lang w:val="en-US" w:eastAsia="zh-CN"/>
        </w:rPr>
        <w:t xml:space="preserve">种禹哲    </w:t>
      </w:r>
      <w:r>
        <w:rPr>
          <w:rFonts w:hint="eastAsia" w:ascii="宋体" w:hAnsi="宋体" w:eastAsia="宋体" w:cs="宋体"/>
          <w:color w:val="000000"/>
          <w:sz w:val="24"/>
          <w:szCs w:val="24"/>
          <w:shd w:val="clear" w:color="auto" w:fill="FFFFFF"/>
        </w:rPr>
        <w:t xml:space="preserve">       </w:t>
      </w:r>
    </w:p>
    <w:p w14:paraId="26867698">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联系方式：</w:t>
      </w:r>
      <w:r>
        <w:rPr>
          <w:rFonts w:hint="eastAsia" w:ascii="宋体" w:hAnsi="宋体" w:eastAsia="宋体" w:cs="宋体"/>
          <w:i w:val="0"/>
          <w:iCs w:val="0"/>
          <w:caps w:val="0"/>
          <w:color w:val="000000"/>
          <w:spacing w:val="0"/>
          <w:sz w:val="24"/>
          <w:szCs w:val="24"/>
          <w:shd w:val="clear" w:fill="FFFFFF"/>
        </w:rPr>
        <w:t>15061187823</w:t>
      </w:r>
      <w:r>
        <w:rPr>
          <w:rFonts w:hint="eastAsia" w:ascii="宋体" w:hAnsi="宋体" w:eastAsia="宋体" w:cs="宋体"/>
          <w:color w:val="000000"/>
          <w:sz w:val="24"/>
          <w:szCs w:val="24"/>
          <w:shd w:val="clear" w:color="auto" w:fill="FFFFFF"/>
        </w:rPr>
        <w:t>    </w:t>
      </w:r>
      <w:bookmarkStart w:id="31" w:name="_Toc28359009"/>
      <w:bookmarkEnd w:id="31"/>
      <w:r>
        <w:rPr>
          <w:rFonts w:hint="eastAsia" w:ascii="宋体" w:hAnsi="宋体" w:eastAsia="宋体" w:cs="宋体"/>
          <w:color w:val="000000"/>
          <w:sz w:val="24"/>
          <w:szCs w:val="24"/>
          <w:shd w:val="clear" w:color="auto" w:fill="FFFFFF"/>
        </w:rPr>
        <w:t xml:space="preserve">       </w:t>
      </w:r>
    </w:p>
    <w:p w14:paraId="739229E5">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2.采购代理机构信息</w:t>
      </w:r>
    </w:p>
    <w:p w14:paraId="634B8798">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rPr>
        <w:t>名 称：</w:t>
      </w:r>
      <w:r>
        <w:rPr>
          <w:rFonts w:hint="eastAsia" w:ascii="宋体" w:hAnsi="宋体" w:eastAsia="宋体" w:cs="宋体"/>
          <w:color w:val="000000"/>
          <w:sz w:val="24"/>
          <w:szCs w:val="24"/>
          <w:shd w:val="clear" w:color="auto" w:fill="FFFFFF"/>
          <w:lang w:eastAsia="zh-CN"/>
        </w:rPr>
        <w:t>盐城市泰诚项目管理有限公司</w:t>
      </w:r>
    </w:p>
    <w:p w14:paraId="11633BC9">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default"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rPr>
        <w:t>地 址：</w:t>
      </w:r>
      <w:r>
        <w:rPr>
          <w:rFonts w:hint="eastAsia" w:ascii="宋体" w:hAnsi="宋体" w:eastAsia="宋体" w:cs="宋体"/>
          <w:color w:val="000000"/>
          <w:sz w:val="24"/>
          <w:szCs w:val="24"/>
          <w:shd w:val="clear" w:color="auto" w:fill="FFFFFF"/>
          <w:lang w:val="en-US" w:eastAsia="zh-CN"/>
        </w:rPr>
        <w:t>大丰区汇坚商贸城20号楼3楼</w:t>
      </w:r>
    </w:p>
    <w:p w14:paraId="48674ED6">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联系人：</w:t>
      </w:r>
      <w:r>
        <w:rPr>
          <w:rFonts w:hint="eastAsia" w:ascii="宋体" w:hAnsi="宋体" w:eastAsia="宋体" w:cs="宋体"/>
          <w:color w:val="000000"/>
          <w:sz w:val="24"/>
          <w:szCs w:val="24"/>
          <w:shd w:val="clear" w:color="auto" w:fill="FFFFFF"/>
          <w:lang w:val="en-US" w:eastAsia="zh-CN"/>
        </w:rPr>
        <w:t>孙昕</w:t>
      </w:r>
      <w:r>
        <w:rPr>
          <w:rFonts w:hint="eastAsia" w:ascii="宋体" w:hAnsi="宋体" w:eastAsia="宋体" w:cs="宋体"/>
          <w:color w:val="000000"/>
          <w:sz w:val="24"/>
          <w:szCs w:val="24"/>
          <w:shd w:val="clear" w:color="auto" w:fill="FFFFFF"/>
        </w:rPr>
        <w:t xml:space="preserve">                     </w:t>
      </w:r>
    </w:p>
    <w:p w14:paraId="59AF5523">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联系方式：</w:t>
      </w:r>
      <w:bookmarkStart w:id="32" w:name="_Toc28359010"/>
      <w:bookmarkStart w:id="33" w:name="_Toc28359087"/>
      <w:r>
        <w:rPr>
          <w:rFonts w:hint="eastAsia" w:ascii="宋体" w:hAnsi="宋体" w:eastAsia="宋体" w:cs="宋体"/>
          <w:color w:val="000000"/>
          <w:sz w:val="24"/>
          <w:szCs w:val="24"/>
          <w:shd w:val="clear" w:color="auto" w:fill="FFFFFF"/>
          <w:lang w:val="en-US" w:eastAsia="zh-CN"/>
        </w:rPr>
        <w:t>17768969152</w:t>
      </w:r>
      <w:r>
        <w:rPr>
          <w:rFonts w:hint="eastAsia" w:ascii="宋体" w:hAnsi="宋体" w:eastAsia="宋体" w:cs="宋体"/>
          <w:color w:val="000000"/>
          <w:sz w:val="24"/>
          <w:szCs w:val="24"/>
          <w:shd w:val="clear" w:color="auto" w:fill="FFFFFF"/>
        </w:rPr>
        <w:t>       </w:t>
      </w:r>
      <w:bookmarkEnd w:id="32"/>
      <w:bookmarkEnd w:id="33"/>
      <w:r>
        <w:rPr>
          <w:rFonts w:hint="eastAsia" w:ascii="宋体" w:hAnsi="宋体" w:eastAsia="宋体" w:cs="宋体"/>
          <w:color w:val="000000"/>
          <w:sz w:val="24"/>
          <w:szCs w:val="24"/>
          <w:shd w:val="clear" w:color="auto" w:fill="FFFFFF"/>
        </w:rPr>
        <w:t xml:space="preserve">            </w:t>
      </w:r>
    </w:p>
    <w:p w14:paraId="03748BA0">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rPr>
      </w:pPr>
      <w:bookmarkStart w:id="34" w:name="_Toc28359021"/>
      <w:r>
        <w:rPr>
          <w:rFonts w:hint="eastAsia" w:ascii="宋体" w:hAnsi="宋体" w:eastAsia="宋体" w:cs="宋体"/>
          <w:color w:val="000000"/>
          <w:sz w:val="24"/>
          <w:szCs w:val="24"/>
          <w:shd w:val="clear" w:color="auto" w:fill="FFFFFF"/>
        </w:rPr>
        <w:t>3.</w:t>
      </w:r>
      <w:bookmarkEnd w:id="34"/>
      <w:r>
        <w:rPr>
          <w:rFonts w:hint="eastAsia" w:ascii="宋体" w:hAnsi="宋体" w:eastAsia="宋体" w:cs="宋体"/>
          <w:color w:val="000000"/>
          <w:sz w:val="24"/>
          <w:szCs w:val="24"/>
          <w:shd w:val="clear" w:color="auto" w:fill="FFFFFF"/>
        </w:rPr>
        <w:t>项目联系方式</w:t>
      </w:r>
    </w:p>
    <w:p w14:paraId="77871F43">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rPr>
        <w:t>项目联系人：</w:t>
      </w:r>
      <w:r>
        <w:rPr>
          <w:rFonts w:hint="eastAsia" w:ascii="宋体" w:hAnsi="宋体" w:eastAsia="宋体" w:cs="宋体"/>
          <w:color w:val="000000"/>
          <w:sz w:val="24"/>
          <w:szCs w:val="24"/>
          <w:shd w:val="clear" w:color="auto" w:fill="FFFFFF"/>
          <w:lang w:val="en-US" w:eastAsia="zh-CN"/>
        </w:rPr>
        <w:t>孙昕</w:t>
      </w:r>
    </w:p>
    <w:p w14:paraId="0E45F8E9">
      <w:pPr>
        <w:pStyle w:val="81"/>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8"/>
          <w:szCs w:val="28"/>
          <w:shd w:val="clear" w:color="auto" w:fill="FFFFFF"/>
        </w:rPr>
      </w:pPr>
      <w:r>
        <w:rPr>
          <w:rFonts w:hint="eastAsia" w:ascii="宋体" w:hAnsi="宋体" w:eastAsia="宋体" w:cs="宋体"/>
          <w:color w:val="000000"/>
          <w:sz w:val="24"/>
          <w:szCs w:val="24"/>
          <w:shd w:val="clear" w:color="auto" w:fill="FFFFFF"/>
        </w:rPr>
        <w:t>电</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话：</w:t>
      </w:r>
      <w:r>
        <w:rPr>
          <w:rFonts w:hint="eastAsia" w:ascii="宋体" w:hAnsi="宋体" w:eastAsia="宋体" w:cs="宋体"/>
          <w:color w:val="000000"/>
          <w:sz w:val="24"/>
          <w:szCs w:val="24"/>
          <w:shd w:val="clear" w:color="auto" w:fill="FFFFFF"/>
          <w:lang w:val="en-US" w:eastAsia="zh-CN"/>
        </w:rPr>
        <w:t>17768969152</w:t>
      </w:r>
      <w:r>
        <w:rPr>
          <w:rFonts w:hint="eastAsia" w:ascii="宋体" w:hAnsi="宋体" w:eastAsia="宋体" w:cs="宋体"/>
          <w:color w:val="000000"/>
          <w:sz w:val="28"/>
          <w:szCs w:val="28"/>
          <w:shd w:val="clear" w:color="auto" w:fill="FFFFFF"/>
          <w:lang w:val="en-US" w:eastAsia="zh-CN"/>
        </w:rPr>
        <w:t> 　　</w:t>
      </w:r>
      <w:r>
        <w:rPr>
          <w:rFonts w:hint="eastAsia" w:ascii="宋体" w:hAnsi="宋体" w:eastAsia="宋体" w:cs="宋体"/>
          <w:color w:val="000000"/>
          <w:sz w:val="28"/>
          <w:szCs w:val="28"/>
          <w:shd w:val="clear" w:color="auto" w:fill="FFFFFF"/>
        </w:rPr>
        <w:t>　</w:t>
      </w:r>
      <w:bookmarkEnd w:id="7"/>
      <w:r>
        <w:rPr>
          <w:rFonts w:hint="eastAsia" w:ascii="宋体" w:hAnsi="宋体" w:eastAsia="宋体" w:cs="宋体"/>
          <w:color w:val="000000"/>
          <w:sz w:val="28"/>
          <w:szCs w:val="28"/>
          <w:shd w:val="clear" w:color="auto" w:fill="FFFFFF"/>
        </w:rPr>
        <w:t>　　　　　　　　　</w:t>
      </w:r>
    </w:p>
    <w:p w14:paraId="5B0F7F97">
      <w:pPr>
        <w:jc w:val="center"/>
        <w:rPr>
          <w:rFonts w:hint="eastAsia" w:ascii="宋体" w:hAnsi="宋体" w:eastAsia="宋体" w:cs="宋体"/>
          <w:b/>
          <w:bCs/>
          <w:color w:val="000000"/>
          <w:sz w:val="44"/>
          <w:szCs w:val="44"/>
        </w:rPr>
      </w:pPr>
      <w:r>
        <w:rPr>
          <w:rFonts w:hint="eastAsia" w:ascii="宋体" w:hAnsi="宋体" w:eastAsia="宋体" w:cs="宋体"/>
          <w:b/>
          <w:color w:val="000000"/>
          <w:sz w:val="28"/>
          <w:szCs w:val="28"/>
        </w:rPr>
        <w:br w:type="page" w:clear="all"/>
      </w:r>
      <w:bookmarkStart w:id="35" w:name="_Toc120614211"/>
      <w:r>
        <w:rPr>
          <w:rFonts w:hint="eastAsia" w:ascii="黑体" w:hAnsi="黑体" w:eastAsia="黑体" w:cs="黑体"/>
          <w:b/>
          <w:bCs/>
          <w:color w:val="000000"/>
          <w:sz w:val="44"/>
          <w:szCs w:val="44"/>
        </w:rPr>
        <w:t>第二章</w:t>
      </w:r>
      <w:bookmarkEnd w:id="35"/>
      <w:r>
        <w:rPr>
          <w:rFonts w:hint="eastAsia" w:ascii="黑体" w:hAnsi="黑体" w:eastAsia="黑体" w:cs="黑体"/>
          <w:b/>
          <w:bCs/>
          <w:color w:val="000000"/>
          <w:sz w:val="44"/>
          <w:szCs w:val="44"/>
          <w:lang w:val="en-US" w:eastAsia="zh-CN"/>
        </w:rPr>
        <w:t xml:space="preserve">  </w:t>
      </w:r>
      <w:r>
        <w:rPr>
          <w:rFonts w:hint="eastAsia" w:ascii="黑体" w:hAnsi="黑体" w:eastAsia="黑体" w:cs="黑体"/>
          <w:b/>
          <w:bCs/>
          <w:color w:val="000000"/>
          <w:sz w:val="44"/>
          <w:szCs w:val="44"/>
        </w:rPr>
        <w:t>供应商须知</w:t>
      </w:r>
    </w:p>
    <w:p w14:paraId="61BE9929">
      <w:pPr>
        <w:pStyle w:val="81"/>
        <w:keepNext/>
        <w:keepLines/>
        <w:spacing w:before="145" w:beforeAutospacing="0" w:after="145" w:afterAutospacing="0" w:line="360" w:lineRule="auto"/>
        <w:ind w:firstLine="498"/>
        <w:jc w:val="both"/>
        <w:rPr>
          <w:rFonts w:hint="eastAsia" w:ascii="宋体" w:hAnsi="宋体" w:eastAsia="宋体" w:cs="宋体"/>
          <w:color w:val="000000"/>
          <w:sz w:val="24"/>
          <w:szCs w:val="24"/>
        </w:rPr>
      </w:pPr>
      <w:bookmarkStart w:id="36" w:name="_Toc120614214"/>
      <w:bookmarkStart w:id="37" w:name="_Toc16938519"/>
      <w:bookmarkStart w:id="38" w:name="_Toc20823275"/>
      <w:bookmarkStart w:id="39" w:name="_Toc513029203"/>
      <w:r>
        <w:rPr>
          <w:rFonts w:hint="eastAsia" w:ascii="宋体" w:hAnsi="宋体" w:eastAsia="宋体" w:cs="宋体"/>
          <w:b/>
          <w:color w:val="000000"/>
          <w:sz w:val="24"/>
          <w:szCs w:val="24"/>
        </w:rPr>
        <w:t>一、总则</w:t>
      </w:r>
      <w:bookmarkEnd w:id="36"/>
      <w:bookmarkEnd w:id="37"/>
      <w:bookmarkEnd w:id="38"/>
      <w:bookmarkEnd w:id="39"/>
    </w:p>
    <w:p w14:paraId="6579F3B8">
      <w:pPr>
        <w:pStyle w:val="81"/>
        <w:keepNext/>
        <w:keepLines/>
        <w:spacing w:beforeAutospacing="0" w:afterAutospacing="0" w:line="360" w:lineRule="auto"/>
        <w:ind w:firstLine="480" w:firstLineChars="200"/>
        <w:jc w:val="both"/>
        <w:rPr>
          <w:rFonts w:hint="eastAsia" w:ascii="宋体" w:hAnsi="宋体" w:eastAsia="宋体" w:cs="宋体"/>
          <w:color w:val="000000"/>
          <w:sz w:val="24"/>
          <w:szCs w:val="24"/>
        </w:rPr>
      </w:pPr>
      <w:bookmarkStart w:id="40" w:name="_Toc20823276"/>
      <w:bookmarkStart w:id="41" w:name="_Toc513029204"/>
      <w:bookmarkStart w:id="42" w:name="_Toc16938520"/>
      <w:bookmarkStart w:id="43" w:name="_Toc458694821"/>
      <w:bookmarkStart w:id="44" w:name="_Hlt16619475"/>
      <w:r>
        <w:rPr>
          <w:rFonts w:hint="eastAsia" w:ascii="宋体" w:hAnsi="宋体" w:eastAsia="宋体" w:cs="宋体"/>
          <w:color w:val="000000"/>
          <w:sz w:val="24"/>
          <w:szCs w:val="24"/>
        </w:rPr>
        <w:t>1</w:t>
      </w:r>
      <w:bookmarkEnd w:id="40"/>
      <w:r>
        <w:rPr>
          <w:rFonts w:hint="eastAsia" w:ascii="宋体" w:hAnsi="宋体" w:eastAsia="宋体" w:cs="宋体"/>
          <w:color w:val="000000"/>
          <w:sz w:val="24"/>
          <w:szCs w:val="24"/>
        </w:rPr>
        <w:t>、采购方式</w:t>
      </w:r>
      <w:bookmarkEnd w:id="41"/>
      <w:bookmarkEnd w:id="42"/>
      <w:bookmarkEnd w:id="43"/>
    </w:p>
    <w:p w14:paraId="04AF7AF9">
      <w:pPr>
        <w:pStyle w:val="81"/>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1.1 本次政府采购活动采取单一来源采购方式。</w:t>
      </w:r>
    </w:p>
    <w:p w14:paraId="109A07A3">
      <w:pPr>
        <w:pStyle w:val="81"/>
        <w:keepNext/>
        <w:keepLines/>
        <w:spacing w:beforeAutospacing="0" w:afterAutospacing="0" w:line="360" w:lineRule="auto"/>
        <w:ind w:firstLine="480" w:firstLineChars="200"/>
        <w:jc w:val="both"/>
        <w:rPr>
          <w:rFonts w:hint="eastAsia" w:ascii="宋体" w:hAnsi="宋体" w:eastAsia="宋体" w:cs="宋体"/>
          <w:color w:val="000000"/>
          <w:sz w:val="24"/>
          <w:szCs w:val="24"/>
        </w:rPr>
      </w:pPr>
      <w:bookmarkStart w:id="45" w:name="_Toc16938521"/>
      <w:bookmarkStart w:id="46" w:name="_Toc20823277"/>
      <w:bookmarkStart w:id="47" w:name="_Toc513029205"/>
      <w:r>
        <w:rPr>
          <w:rFonts w:hint="eastAsia" w:ascii="宋体" w:hAnsi="宋体" w:eastAsia="宋体" w:cs="宋体"/>
          <w:color w:val="000000"/>
          <w:sz w:val="24"/>
          <w:szCs w:val="24"/>
        </w:rPr>
        <w:t>2、合格的</w:t>
      </w:r>
      <w:bookmarkEnd w:id="45"/>
      <w:bookmarkEnd w:id="46"/>
      <w:bookmarkEnd w:id="47"/>
      <w:r>
        <w:rPr>
          <w:rFonts w:hint="eastAsia" w:ascii="宋体" w:hAnsi="宋体" w:eastAsia="宋体" w:cs="宋体"/>
          <w:color w:val="auto"/>
          <w:sz w:val="24"/>
          <w:szCs w:val="24"/>
          <w:highlight w:val="none"/>
          <w:shd w:val="clear" w:color="auto" w:fill="auto"/>
        </w:rPr>
        <w:t>供应商</w:t>
      </w:r>
    </w:p>
    <w:p w14:paraId="10D38234">
      <w:pPr>
        <w:pStyle w:val="81"/>
        <w:spacing w:beforeAutospacing="0" w:afterAutospacing="0" w:line="360" w:lineRule="auto"/>
        <w:ind w:firstLine="480"/>
        <w:jc w:val="both"/>
        <w:rPr>
          <w:rFonts w:hint="eastAsia" w:ascii="宋体" w:hAnsi="宋体" w:eastAsia="宋体" w:cs="宋体"/>
          <w:color w:val="000000"/>
          <w:sz w:val="24"/>
          <w:szCs w:val="24"/>
        </w:rPr>
      </w:pPr>
      <w:bookmarkStart w:id="48" w:name="_Toc20823278"/>
      <w:bookmarkStart w:id="49" w:name="_Toc513029206"/>
      <w:bookmarkStart w:id="50" w:name="_Toc16938522"/>
      <w:r>
        <w:rPr>
          <w:rFonts w:hint="eastAsia" w:ascii="宋体" w:hAnsi="宋体" w:eastAsia="宋体" w:cs="宋体"/>
          <w:color w:val="000000"/>
          <w:sz w:val="24"/>
          <w:szCs w:val="24"/>
        </w:rPr>
        <w:t>2.1 满足采购文件中合格单一来源</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资格要求的规定。</w:t>
      </w:r>
      <w:bookmarkEnd w:id="48"/>
      <w:bookmarkEnd w:id="49"/>
      <w:bookmarkEnd w:id="50"/>
    </w:p>
    <w:p w14:paraId="3FB83DBA">
      <w:pPr>
        <w:pStyle w:val="81"/>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2.2 满足本采购文件实质性条款的规定。</w:t>
      </w:r>
    </w:p>
    <w:p w14:paraId="7765EE59">
      <w:pPr>
        <w:pStyle w:val="81"/>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3、适用法律</w:t>
      </w:r>
    </w:p>
    <w:p w14:paraId="0A3A1EE3">
      <w:pPr>
        <w:pStyle w:val="81"/>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3.1 本次采购及由此产生的合同受中华人民共和国有关的法律法规制约和保护。</w:t>
      </w:r>
      <w:bookmarkStart w:id="51" w:name="_Toc462564067"/>
      <w:bookmarkStart w:id="52" w:name="_Toc16938523"/>
      <w:bookmarkStart w:id="53" w:name="_Toc513029207"/>
      <w:bookmarkStart w:id="54" w:name="_Toc20823279"/>
    </w:p>
    <w:p w14:paraId="5348C08C">
      <w:pPr>
        <w:pStyle w:val="81"/>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4、相关费用</w:t>
      </w:r>
      <w:bookmarkEnd w:id="51"/>
      <w:bookmarkEnd w:id="52"/>
      <w:bookmarkEnd w:id="53"/>
      <w:bookmarkEnd w:id="54"/>
    </w:p>
    <w:p w14:paraId="469852B3">
      <w:pPr>
        <w:pStyle w:val="81"/>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4.1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应自行承担所有与参加本次采购有关的费用，无论采购过程中的做法和结果如何，采购人及采购代理机构在任何情况下均无义务和责任承担这些费用。</w:t>
      </w:r>
    </w:p>
    <w:p w14:paraId="0AAC06D9">
      <w:pPr>
        <w:pStyle w:val="81"/>
        <w:spacing w:beforeAutospacing="0" w:afterAutospacing="0" w:line="360" w:lineRule="auto"/>
        <w:ind w:firstLine="480"/>
        <w:jc w:val="both"/>
        <w:rPr>
          <w:rFonts w:hint="eastAsia" w:ascii="宋体" w:hAnsi="宋体" w:eastAsia="宋体" w:cs="宋体"/>
          <w:b/>
          <w:color w:val="000000"/>
          <w:sz w:val="24"/>
          <w:szCs w:val="24"/>
        </w:rPr>
      </w:pPr>
      <w:r>
        <w:rPr>
          <w:rFonts w:hint="eastAsia" w:ascii="宋体" w:hAnsi="宋体" w:eastAsia="宋体" w:cs="宋体"/>
          <w:b/>
          <w:bCs/>
          <w:color w:val="000000"/>
          <w:sz w:val="24"/>
          <w:szCs w:val="24"/>
        </w:rPr>
        <w:t>4.2</w:t>
      </w:r>
      <w:r>
        <w:rPr>
          <w:rFonts w:hint="eastAsia" w:ascii="宋体" w:hAnsi="宋体" w:eastAsia="宋体" w:cs="宋体"/>
          <w:b/>
          <w:color w:val="000000"/>
          <w:sz w:val="24"/>
          <w:szCs w:val="24"/>
        </w:rPr>
        <w:t>本项目代理费用向中</w:t>
      </w:r>
      <w:r>
        <w:rPr>
          <w:rFonts w:hint="eastAsia" w:ascii="宋体" w:hAnsi="宋体" w:eastAsia="宋体" w:cs="宋体"/>
          <w:b/>
          <w:bCs w:val="0"/>
          <w:color w:val="000000"/>
          <w:sz w:val="24"/>
          <w:szCs w:val="24"/>
        </w:rPr>
        <w:t>标</w:t>
      </w:r>
      <w:r>
        <w:rPr>
          <w:rFonts w:hint="eastAsia" w:ascii="宋体" w:hAnsi="宋体" w:eastAsia="宋体" w:cs="宋体"/>
          <w:b/>
          <w:bCs w:val="0"/>
          <w:color w:val="auto"/>
          <w:sz w:val="24"/>
          <w:szCs w:val="24"/>
          <w:highlight w:val="none"/>
          <w:shd w:val="clear" w:color="auto" w:fill="auto"/>
        </w:rPr>
        <w:t>供应商</w:t>
      </w:r>
      <w:r>
        <w:rPr>
          <w:rFonts w:hint="eastAsia" w:ascii="宋体" w:hAnsi="宋体" w:eastAsia="宋体" w:cs="宋体"/>
          <w:b/>
          <w:bCs w:val="0"/>
          <w:color w:val="000000"/>
          <w:sz w:val="24"/>
          <w:szCs w:val="24"/>
        </w:rPr>
        <w:t>收</w:t>
      </w:r>
      <w:r>
        <w:rPr>
          <w:rFonts w:hint="eastAsia" w:ascii="宋体" w:hAnsi="宋体" w:eastAsia="宋体" w:cs="宋体"/>
          <w:b/>
          <w:color w:val="000000"/>
          <w:sz w:val="24"/>
          <w:szCs w:val="24"/>
        </w:rPr>
        <w:t>取，代理费用按</w:t>
      </w:r>
      <w:r>
        <w:rPr>
          <w:rFonts w:hint="eastAsia" w:ascii="宋体" w:hAnsi="宋体" w:eastAsia="宋体" w:cs="宋体"/>
          <w:b/>
          <w:color w:val="000000"/>
          <w:sz w:val="24"/>
          <w:szCs w:val="24"/>
          <w:lang w:val="en-US" w:eastAsia="zh-CN"/>
        </w:rPr>
        <w:t>苏招协【2022】002号</w:t>
      </w:r>
      <w:r>
        <w:rPr>
          <w:rFonts w:hint="eastAsia" w:ascii="宋体" w:hAnsi="宋体" w:eastAsia="宋体" w:cs="宋体"/>
          <w:b/>
          <w:color w:val="000000"/>
          <w:sz w:val="24"/>
          <w:szCs w:val="24"/>
        </w:rPr>
        <w:t>文</w:t>
      </w:r>
      <w:r>
        <w:rPr>
          <w:rFonts w:hint="eastAsia" w:ascii="宋体" w:hAnsi="宋体" w:eastAsia="宋体" w:cs="宋体"/>
          <w:b/>
          <w:color w:val="000000"/>
          <w:sz w:val="24"/>
          <w:szCs w:val="24"/>
          <w:lang w:val="en-US" w:eastAsia="zh-CN"/>
        </w:rPr>
        <w:t>服务</w:t>
      </w:r>
      <w:r>
        <w:rPr>
          <w:rFonts w:hint="eastAsia" w:ascii="宋体" w:hAnsi="宋体" w:eastAsia="宋体" w:cs="宋体"/>
          <w:b/>
          <w:color w:val="000000"/>
          <w:sz w:val="24"/>
          <w:szCs w:val="24"/>
        </w:rPr>
        <w:t>类标准缴纳，</w:t>
      </w:r>
      <w:r>
        <w:rPr>
          <w:rFonts w:hint="eastAsia" w:ascii="宋体" w:hAnsi="宋体" w:eastAsia="宋体" w:cs="宋体"/>
          <w:b/>
          <w:bCs w:val="0"/>
          <w:color w:val="000000"/>
          <w:sz w:val="24"/>
          <w:szCs w:val="24"/>
        </w:rPr>
        <w:t>请</w:t>
      </w:r>
      <w:r>
        <w:rPr>
          <w:rFonts w:hint="eastAsia" w:ascii="宋体" w:hAnsi="宋体" w:eastAsia="宋体" w:cs="宋体"/>
          <w:b/>
          <w:bCs w:val="0"/>
          <w:color w:val="auto"/>
          <w:sz w:val="24"/>
          <w:szCs w:val="24"/>
          <w:highlight w:val="none"/>
          <w:shd w:val="clear" w:color="auto" w:fill="auto"/>
        </w:rPr>
        <w:t>供应商</w:t>
      </w:r>
      <w:r>
        <w:rPr>
          <w:rFonts w:hint="eastAsia" w:ascii="宋体" w:hAnsi="宋体" w:eastAsia="宋体" w:cs="宋体"/>
          <w:b/>
          <w:bCs w:val="0"/>
          <w:color w:val="000000"/>
          <w:sz w:val="24"/>
          <w:szCs w:val="24"/>
        </w:rPr>
        <w:t>考虑在</w:t>
      </w:r>
      <w:r>
        <w:rPr>
          <w:rFonts w:hint="eastAsia" w:ascii="宋体" w:hAnsi="宋体" w:eastAsia="宋体" w:cs="宋体"/>
          <w:b/>
          <w:color w:val="000000"/>
          <w:sz w:val="24"/>
          <w:szCs w:val="24"/>
        </w:rPr>
        <w:t>投标报价中。</w:t>
      </w:r>
    </w:p>
    <w:p w14:paraId="21D03FB3">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5、采购文件的约束力</w:t>
      </w:r>
    </w:p>
    <w:p w14:paraId="588DA8F3">
      <w:pPr>
        <w:pStyle w:val="81"/>
        <w:spacing w:beforeAutospacing="0" w:afterAutospacing="0" w:line="360" w:lineRule="auto"/>
        <w:ind w:firstLine="560"/>
        <w:jc w:val="both"/>
        <w:rPr>
          <w:rFonts w:hint="eastAsia" w:ascii="宋体" w:hAnsi="宋体" w:eastAsia="宋体" w:cs="宋体"/>
          <w:b/>
          <w:color w:val="000000"/>
          <w:sz w:val="24"/>
          <w:szCs w:val="24"/>
        </w:rPr>
      </w:pPr>
      <w:r>
        <w:rPr>
          <w:rFonts w:hint="eastAsia" w:ascii="宋体" w:hAnsi="宋体" w:eastAsia="宋体" w:cs="宋体"/>
          <w:color w:val="000000"/>
          <w:sz w:val="24"/>
          <w:szCs w:val="24"/>
        </w:rPr>
        <w:t>5.1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一旦接收了本项目单一来源采购文件（以下简称“采购文件”）并决定参加单一来源采购活动，即被认为接受了本采购文件的规定和约束，并且视为自接收本采购文件之日起已经知道或应当知道自身权益是否受到了损害。</w:t>
      </w:r>
      <w:bookmarkStart w:id="55" w:name="_Toc16938525"/>
      <w:bookmarkStart w:id="56" w:name="_Toc513029209"/>
      <w:bookmarkStart w:id="57" w:name="_Toc120614215"/>
      <w:bookmarkStart w:id="58" w:name="_Toc20823281"/>
    </w:p>
    <w:p w14:paraId="2BE70D3A">
      <w:pPr>
        <w:pStyle w:val="81"/>
        <w:spacing w:beforeAutospacing="0" w:afterAutospacing="0" w:line="360" w:lineRule="auto"/>
        <w:ind w:firstLine="482" w:firstLineChars="200"/>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t>二、</w:t>
      </w:r>
      <w:bookmarkEnd w:id="55"/>
      <w:bookmarkEnd w:id="56"/>
      <w:bookmarkEnd w:id="57"/>
      <w:bookmarkEnd w:id="58"/>
      <w:r>
        <w:rPr>
          <w:rFonts w:hint="eastAsia" w:ascii="宋体" w:hAnsi="宋体" w:eastAsia="宋体" w:cs="宋体"/>
          <w:b/>
          <w:color w:val="000000"/>
          <w:sz w:val="24"/>
          <w:szCs w:val="24"/>
        </w:rPr>
        <w:t>采购文件</w:t>
      </w:r>
      <w:bookmarkStart w:id="59" w:name="_Toc16938526"/>
      <w:bookmarkStart w:id="60" w:name="_Toc513029210"/>
      <w:bookmarkStart w:id="61" w:name="_Toc20823282"/>
    </w:p>
    <w:p w14:paraId="6D65ACD1">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6、采购文件构成</w:t>
      </w:r>
      <w:bookmarkEnd w:id="59"/>
      <w:bookmarkEnd w:id="60"/>
      <w:bookmarkEnd w:id="61"/>
    </w:p>
    <w:p w14:paraId="1A3BAF87">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6.1采购文件由以下部分组成：</w:t>
      </w:r>
    </w:p>
    <w:p w14:paraId="46E48BCA">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（1）单一来源采购邀请</w:t>
      </w:r>
    </w:p>
    <w:p w14:paraId="6F18242B">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须知</w:t>
      </w:r>
    </w:p>
    <w:p w14:paraId="642588FA">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（3）合同文本</w:t>
      </w:r>
    </w:p>
    <w:p w14:paraId="5B37E58E">
      <w:pPr>
        <w:pStyle w:val="81"/>
        <w:spacing w:beforeAutospacing="0" w:afterAutospacing="0" w:line="360" w:lineRule="auto"/>
        <w:ind w:firstLine="560"/>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4）采购需求</w:t>
      </w:r>
    </w:p>
    <w:p w14:paraId="2AF0AD25">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）投标文件格式</w:t>
      </w:r>
    </w:p>
    <w:p w14:paraId="27F91EED">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6.1请仔细检查采购文件是否齐全，如有缺漏请立即与采购人联系解决。</w:t>
      </w:r>
    </w:p>
    <w:p w14:paraId="5AB005B4">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6.2</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认真阅读采购文件中所有的事项、格式、条款和规范等要求。按采购文件要求和规定编制单一来源谈判投标文件（以下简称“投标文件”），并保证所提供的全部资料的真实性，以使其投标文件对采购文件作出实质性响应，否则其风险由</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自行承担。</w:t>
      </w:r>
      <w:bookmarkStart w:id="62" w:name="_Toc513029211"/>
      <w:bookmarkStart w:id="63" w:name="_Toc462564070"/>
      <w:bookmarkStart w:id="64" w:name="_Toc20823283"/>
      <w:bookmarkStart w:id="65" w:name="_Toc16938527"/>
    </w:p>
    <w:p w14:paraId="4C322F2B">
      <w:pPr>
        <w:pStyle w:val="81"/>
        <w:numPr>
          <w:ilvl w:val="0"/>
          <w:numId w:val="1"/>
        </w:numPr>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采购文件的澄清</w:t>
      </w:r>
      <w:bookmarkEnd w:id="62"/>
      <w:bookmarkEnd w:id="63"/>
      <w:bookmarkEnd w:id="64"/>
      <w:bookmarkEnd w:id="65"/>
      <w:bookmarkStart w:id="66" w:name="_Toc20823284"/>
      <w:bookmarkStart w:id="67" w:name="_Toc462564071"/>
      <w:bookmarkStart w:id="68" w:name="_Toc513029212"/>
      <w:bookmarkStart w:id="69" w:name="_Toc16938528"/>
    </w:p>
    <w:p w14:paraId="5FA91CF6">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w:t>
      </w:r>
      <w:bookmarkEnd w:id="66"/>
      <w:bookmarkEnd w:id="67"/>
      <w:bookmarkEnd w:id="68"/>
      <w:bookmarkEnd w:id="69"/>
      <w:r>
        <w:rPr>
          <w:rFonts w:hint="eastAsia" w:ascii="宋体" w:hAnsi="宋体" w:eastAsia="宋体" w:cs="宋体"/>
          <w:color w:val="000000"/>
          <w:sz w:val="24"/>
          <w:szCs w:val="24"/>
        </w:rPr>
        <w:t>任何要求对招标文件进行澄清的</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，应在投标截止期三日前按招标公告中的通讯地址，以书面形式通知采购人。</w:t>
      </w:r>
      <w:bookmarkStart w:id="70" w:name="_Toc120614216"/>
      <w:bookmarkStart w:id="71" w:name="_Toc20823285"/>
      <w:bookmarkStart w:id="72" w:name="_Toc16938529"/>
      <w:bookmarkStart w:id="73" w:name="_Toc462564072"/>
      <w:bookmarkStart w:id="74" w:name="_Toc513029213"/>
    </w:p>
    <w:p w14:paraId="7C9406BF">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8、采购文件的修改</w:t>
      </w:r>
      <w:bookmarkEnd w:id="70"/>
      <w:bookmarkEnd w:id="71"/>
      <w:bookmarkEnd w:id="72"/>
      <w:bookmarkEnd w:id="73"/>
      <w:bookmarkEnd w:id="74"/>
    </w:p>
    <w:p w14:paraId="73C9A1E5">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8.1 在截止时间前，采购人可以对招标文件进行修改。</w:t>
      </w:r>
    </w:p>
    <w:p w14:paraId="64BB14AA">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8.2采购人有权按照政府采购的有关要求推迟截止时间和开标日期。</w:t>
      </w:r>
    </w:p>
    <w:p w14:paraId="69FDE72C">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8.3采购文件的修改将在中国政府采购网、江苏政府采购网、盐城市政府采购网公布，补充文件将作为招标文件的组成部分，并对</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具有约束力。</w:t>
      </w:r>
    </w:p>
    <w:p w14:paraId="33792DC2">
      <w:pPr>
        <w:pStyle w:val="81"/>
        <w:numPr>
          <w:ilvl w:val="0"/>
          <w:numId w:val="0"/>
        </w:numPr>
        <w:spacing w:beforeAutospacing="0" w:afterAutospacing="0" w:line="360" w:lineRule="auto"/>
        <w:ind w:firstLine="482" w:firstLineChars="200"/>
        <w:jc w:val="both"/>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三、</w:t>
      </w:r>
      <w:r>
        <w:rPr>
          <w:rFonts w:hint="eastAsia" w:ascii="宋体" w:hAnsi="宋体" w:eastAsia="宋体" w:cs="宋体"/>
          <w:b/>
          <w:color w:val="000000"/>
          <w:sz w:val="24"/>
          <w:szCs w:val="24"/>
        </w:rPr>
        <w:t>投标文件的编制</w:t>
      </w:r>
      <w:bookmarkStart w:id="75" w:name="_Toc16938530"/>
      <w:bookmarkStart w:id="76" w:name="_Toc513029214"/>
      <w:bookmarkStart w:id="77" w:name="_Toc462564073"/>
      <w:bookmarkStart w:id="78" w:name="_Toc20823286"/>
    </w:p>
    <w:p w14:paraId="33DEF791">
      <w:pPr>
        <w:pStyle w:val="81"/>
        <w:numPr>
          <w:ilvl w:val="0"/>
          <w:numId w:val="0"/>
        </w:numPr>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投标文件的语言及度量衡单位</w:t>
      </w:r>
      <w:bookmarkEnd w:id="75"/>
      <w:bookmarkEnd w:id="76"/>
      <w:bookmarkEnd w:id="77"/>
      <w:bookmarkEnd w:id="78"/>
    </w:p>
    <w:p w14:paraId="383431FF">
      <w:pPr>
        <w:pStyle w:val="81"/>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9.1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提交的投标文件以及</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与采购人及采购代理机构就有关投标的所有来往通知、函件和文件均应使用简体中文。</w:t>
      </w:r>
    </w:p>
    <w:p w14:paraId="712BD280">
      <w:pPr>
        <w:pStyle w:val="81"/>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9.2 除技术性能另有规定外，投标文件所使用的度量衡单位，均须采用国家法定计量单位。</w:t>
      </w:r>
      <w:bookmarkStart w:id="79" w:name="_Toc462564074"/>
      <w:bookmarkStart w:id="80" w:name="_Toc20823287"/>
      <w:bookmarkStart w:id="81" w:name="_Toc513029215"/>
      <w:bookmarkStart w:id="82" w:name="_Toc16938531"/>
    </w:p>
    <w:p w14:paraId="153C4E55">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10、投标文件构成</w:t>
      </w:r>
      <w:bookmarkEnd w:id="79"/>
      <w:bookmarkEnd w:id="80"/>
      <w:bookmarkEnd w:id="81"/>
      <w:bookmarkEnd w:id="82"/>
      <w:bookmarkStart w:id="83" w:name="_Toc513029219"/>
      <w:bookmarkStart w:id="84" w:name="_Toc14577357"/>
      <w:bookmarkStart w:id="85" w:name="_Toc49090507"/>
      <w:bookmarkStart w:id="86" w:name="_Toc49090508"/>
      <w:bookmarkStart w:id="87" w:name="_Toc49090509"/>
      <w:bookmarkStart w:id="88" w:name="_Toc513029216"/>
      <w:bookmarkStart w:id="89" w:name="_Toc14577355"/>
      <w:bookmarkStart w:id="90" w:name="_Toc14577354"/>
      <w:bookmarkStart w:id="91" w:name="_Hlt26668975"/>
      <w:bookmarkStart w:id="92" w:name="_Hlt26954838"/>
      <w:bookmarkStart w:id="93" w:name="_Hlt26670360"/>
    </w:p>
    <w:p w14:paraId="2ACA36DD">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10.1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编写的投标文件应包括资格证明文件、符合性证明文件、分项报价表、技术要求响应及偏离表、商务要求响应及偏离表、其他证明文件、单一来源响应函等部分。</w:t>
      </w:r>
      <w:bookmarkEnd w:id="83"/>
      <w:bookmarkEnd w:id="84"/>
      <w:bookmarkEnd w:id="85"/>
      <w:bookmarkEnd w:id="86"/>
      <w:bookmarkEnd w:id="87"/>
      <w:bookmarkEnd w:id="88"/>
      <w:bookmarkEnd w:id="89"/>
      <w:bookmarkEnd w:id="90"/>
    </w:p>
    <w:p w14:paraId="44987F3D">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10.2 如标书制作工具中格式和内容与“中国政府采购网”、“江苏政府采购网”、“盐城市政府采购网”发布的招标文件不一致，请以中国政府采购网”、“江苏政府采购网”、“盐城市政府采购网”发布的招标文件为准。</w:t>
      </w:r>
    </w:p>
    <w:p w14:paraId="77F0B383">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11、证明</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及响应标的符合采购文件规定的文件</w:t>
      </w:r>
    </w:p>
    <w:p w14:paraId="792FCB7E">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应按照招标文件要求提交证明文件，证明其及响应标的符合采购文件规定。</w:t>
      </w:r>
    </w:p>
    <w:p w14:paraId="2CAD5881">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11.2采购文件对证明文件无明确形式要求的，证明文件可以以文字资料、图纸和数据等形式提交。</w:t>
      </w:r>
    </w:p>
    <w:p w14:paraId="0FE83F13">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12、分项报价表</w:t>
      </w:r>
    </w:p>
    <w:p w14:paraId="4D976941">
      <w:pPr>
        <w:pStyle w:val="81"/>
        <w:spacing w:beforeAutospacing="0" w:afterAutospacing="0" w:line="360" w:lineRule="auto"/>
        <w:ind w:firstLine="560"/>
        <w:jc w:val="both"/>
        <w:rPr>
          <w:rFonts w:hint="eastAsia" w:ascii="宋体" w:hAnsi="宋体" w:eastAsia="宋体" w:cs="宋体"/>
          <w:color w:val="000000"/>
          <w:sz w:val="24"/>
          <w:szCs w:val="24"/>
        </w:rPr>
      </w:pPr>
      <w:bookmarkStart w:id="94" w:name="_Hlt26954846"/>
      <w:bookmarkStart w:id="95" w:name="_Hlt26954731"/>
      <w:bookmarkStart w:id="96" w:name="_Hlt26954848"/>
      <w:bookmarkStart w:id="97" w:name="_Hlt26670486"/>
      <w:bookmarkStart w:id="98" w:name="_Hlt26670482"/>
      <w:r>
        <w:rPr>
          <w:rFonts w:hint="eastAsia" w:ascii="宋体" w:hAnsi="宋体" w:eastAsia="宋体" w:cs="宋体"/>
          <w:color w:val="000000"/>
          <w:sz w:val="24"/>
          <w:szCs w:val="24"/>
        </w:rPr>
        <w:t xml:space="preserve">12.1 </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应按照采购文件规定格式填报分项报价表。</w:t>
      </w:r>
    </w:p>
    <w:p w14:paraId="6B133691">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12.2投标货币。投标文件中的单价和总价无特殊规定的采用人民币报价，以元为单位标注。采购文件中另有规定的按规定执行。</w:t>
      </w:r>
    </w:p>
    <w:p w14:paraId="3E7BD4C8">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13、技术要求响应及偏离表、商务要求响应及偏离表</w:t>
      </w:r>
    </w:p>
    <w:p w14:paraId="24C51AAA">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13.1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需对采购文件中的技术要求与商务要求逐项作出响应或偏离，并说明原因。</w:t>
      </w:r>
    </w:p>
    <w:p w14:paraId="2964FFF5">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13.2</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可在投标文件中提供认为需要的其他技术文件或说明。</w:t>
      </w:r>
    </w:p>
    <w:p w14:paraId="06FE1B1B">
      <w:pPr>
        <w:pStyle w:val="81"/>
        <w:spacing w:beforeAutospacing="0" w:afterAutospacing="0" w:line="360" w:lineRule="auto"/>
        <w:ind w:firstLine="560"/>
        <w:jc w:val="both"/>
        <w:rPr>
          <w:rFonts w:hint="eastAsia" w:ascii="宋体" w:hAnsi="宋体" w:eastAsia="宋体" w:cs="宋体"/>
          <w:color w:val="000000"/>
          <w:sz w:val="24"/>
          <w:szCs w:val="24"/>
        </w:rPr>
      </w:pPr>
      <w:bookmarkStart w:id="99" w:name="_Toc49090510"/>
      <w:bookmarkStart w:id="100" w:name="_Toc14577359"/>
      <w:r>
        <w:rPr>
          <w:rFonts w:hint="eastAsia" w:ascii="宋体" w:hAnsi="宋体" w:eastAsia="宋体" w:cs="宋体"/>
          <w:color w:val="000000"/>
          <w:sz w:val="24"/>
          <w:szCs w:val="24"/>
        </w:rPr>
        <w:t>14、服务承诺、培训计划、人员安排及其他</w:t>
      </w:r>
      <w:bookmarkEnd w:id="99"/>
      <w:bookmarkEnd w:id="100"/>
    </w:p>
    <w:p w14:paraId="54FDA047">
      <w:pPr>
        <w:pStyle w:val="81"/>
        <w:spacing w:beforeAutospacing="0" w:afterAutospacing="0" w:line="360" w:lineRule="auto"/>
        <w:ind w:firstLine="56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无</w:t>
      </w:r>
    </w:p>
    <w:p w14:paraId="7B7DDBC0">
      <w:pPr>
        <w:pStyle w:val="81"/>
        <w:spacing w:beforeAutospacing="0" w:afterAutospacing="0" w:line="360" w:lineRule="auto"/>
        <w:ind w:firstLine="560"/>
        <w:jc w:val="both"/>
        <w:rPr>
          <w:rFonts w:hint="eastAsia" w:ascii="宋体" w:hAnsi="宋体" w:eastAsia="宋体" w:cs="宋体"/>
          <w:color w:val="000000"/>
          <w:sz w:val="24"/>
          <w:szCs w:val="24"/>
        </w:rPr>
      </w:pPr>
      <w:bookmarkStart w:id="101" w:name="_Toc14577360"/>
      <w:bookmarkStart w:id="102" w:name="_Toc49090511"/>
      <w:r>
        <w:rPr>
          <w:rFonts w:hint="eastAsia" w:ascii="宋体" w:hAnsi="宋体" w:eastAsia="宋体" w:cs="宋体"/>
          <w:color w:val="000000"/>
          <w:sz w:val="24"/>
          <w:szCs w:val="24"/>
        </w:rPr>
        <w:t>15、单一来源响应函</w:t>
      </w:r>
      <w:bookmarkEnd w:id="101"/>
      <w:bookmarkEnd w:id="102"/>
    </w:p>
    <w:p w14:paraId="409F0A07">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 xml:space="preserve">应按照采购文件中提供的格式完整、正确填写单一来源响应函。       </w:t>
      </w:r>
    </w:p>
    <w:p w14:paraId="01663106">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15.2 对于采用货币报价的项目，单一来源响应函中的投标总报价应与投标分项报价表中的投标总报价一致，如不一致，不作为无效投标处理，但评标时按单一来源响应函中价格为准。</w:t>
      </w:r>
    </w:p>
    <w:p w14:paraId="3D2547F3">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16、单一来源采购有效期</w:t>
      </w:r>
    </w:p>
    <w:p w14:paraId="5FBC577D">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16.1单一来源采购有效期为采购人规定的投标文件接收截止之日后</w:t>
      </w:r>
      <w:r>
        <w:rPr>
          <w:rFonts w:hint="eastAsia" w:ascii="宋体" w:hAnsi="宋体" w:eastAsia="宋体" w:cs="宋体"/>
          <w:b/>
          <w:bCs/>
          <w:color w:val="000000"/>
          <w:sz w:val="24"/>
          <w:szCs w:val="24"/>
          <w:u w:val="single"/>
        </w:rPr>
        <w:t>三十（30）天</w:t>
      </w:r>
      <w:r>
        <w:rPr>
          <w:rFonts w:hint="eastAsia" w:ascii="宋体" w:hAnsi="宋体" w:eastAsia="宋体" w:cs="宋体"/>
          <w:color w:val="000000"/>
          <w:sz w:val="24"/>
          <w:szCs w:val="24"/>
        </w:rPr>
        <w:t>。有效期比规定期限短的将被视为未响应采购文件要求而予以拒绝。</w:t>
      </w:r>
    </w:p>
    <w:p w14:paraId="7C25DCBD">
      <w:pPr>
        <w:pStyle w:val="81"/>
        <w:numPr>
          <w:ilvl w:val="0"/>
          <w:numId w:val="0"/>
        </w:numPr>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17、</w:t>
      </w:r>
      <w:r>
        <w:rPr>
          <w:rFonts w:hint="eastAsia" w:ascii="宋体" w:hAnsi="宋体" w:eastAsia="宋体" w:cs="宋体"/>
          <w:color w:val="000000"/>
          <w:sz w:val="24"/>
          <w:szCs w:val="24"/>
        </w:rPr>
        <w:t>有效期的延长</w:t>
      </w:r>
    </w:p>
    <w:p w14:paraId="292CF658">
      <w:pPr>
        <w:pStyle w:val="81"/>
        <w:numPr>
          <w:ilvl w:val="0"/>
          <w:numId w:val="0"/>
        </w:numPr>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17.1在特殊情况下，采购人或采购代理机构于原有效期满之前，可向</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提出延长有效期的要求。这种要求与答复均应采用书面形式。</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可以拒绝采购人的这一要求而放弃单一来源采购活动，同意延长有效期的</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既不能要求也不允许修改其投标文件。受有效期约束的所有权利与义务均延长至新的有效期。</w:t>
      </w:r>
      <w:bookmarkStart w:id="103" w:name="_Toc120614217"/>
      <w:bookmarkStart w:id="104" w:name="_Toc16938540"/>
      <w:bookmarkStart w:id="105" w:name="_Toc513029224"/>
      <w:bookmarkStart w:id="106" w:name="_Toc20823296"/>
      <w:bookmarkStart w:id="107" w:name="_Hlt26954852"/>
      <w:bookmarkStart w:id="108" w:name="_Hlt26954739"/>
    </w:p>
    <w:p w14:paraId="1E8C5817">
      <w:pPr>
        <w:pStyle w:val="81"/>
        <w:numPr>
          <w:ilvl w:val="0"/>
          <w:numId w:val="0"/>
        </w:numPr>
        <w:spacing w:beforeAutospacing="0" w:afterAutospacing="0" w:line="360" w:lineRule="auto"/>
        <w:ind w:firstLine="482" w:firstLineChars="200"/>
        <w:jc w:val="both"/>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四、</w:t>
      </w:r>
      <w:r>
        <w:rPr>
          <w:rFonts w:hint="eastAsia" w:ascii="宋体" w:hAnsi="宋体" w:eastAsia="宋体" w:cs="宋体"/>
          <w:b/>
          <w:color w:val="000000"/>
          <w:sz w:val="24"/>
          <w:szCs w:val="24"/>
        </w:rPr>
        <w:t>投标文件的递交</w:t>
      </w:r>
      <w:bookmarkEnd w:id="103"/>
      <w:bookmarkEnd w:id="104"/>
      <w:bookmarkEnd w:id="105"/>
      <w:bookmarkEnd w:id="106"/>
      <w:bookmarkStart w:id="109" w:name="_Toc16938541"/>
      <w:bookmarkStart w:id="110" w:name="_Toc513029225"/>
      <w:bookmarkStart w:id="111" w:name="_Toc20823297"/>
      <w:bookmarkStart w:id="112" w:name="_Toc462564084"/>
    </w:p>
    <w:p w14:paraId="72B3FBDA">
      <w:pPr>
        <w:pStyle w:val="81"/>
        <w:numPr>
          <w:ilvl w:val="0"/>
          <w:numId w:val="0"/>
        </w:numPr>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18、</w:t>
      </w:r>
      <w:r>
        <w:rPr>
          <w:rFonts w:hint="eastAsia" w:ascii="宋体" w:hAnsi="宋体" w:eastAsia="宋体" w:cs="宋体"/>
          <w:color w:val="000000"/>
          <w:sz w:val="24"/>
          <w:szCs w:val="24"/>
        </w:rPr>
        <w:t>电子</w:t>
      </w:r>
      <w:bookmarkEnd w:id="109"/>
      <w:bookmarkEnd w:id="110"/>
      <w:bookmarkEnd w:id="111"/>
      <w:bookmarkEnd w:id="112"/>
      <w:r>
        <w:rPr>
          <w:rFonts w:hint="eastAsia" w:ascii="宋体" w:hAnsi="宋体" w:eastAsia="宋体" w:cs="宋体"/>
          <w:color w:val="000000"/>
          <w:sz w:val="24"/>
          <w:szCs w:val="24"/>
        </w:rPr>
        <w:t>投标文件的递交</w:t>
      </w:r>
    </w:p>
    <w:p w14:paraId="4A6254EE">
      <w:pPr>
        <w:pStyle w:val="81"/>
        <w:numPr>
          <w:ilvl w:val="0"/>
          <w:numId w:val="0"/>
        </w:numPr>
        <w:spacing w:beforeAutospacing="0" w:afterAutospacing="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18.1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应当按照《操作手册》规定，在截止时间前制作并上传电子投标文件。</w:t>
      </w:r>
      <w:bookmarkStart w:id="113" w:name="_Toc20823298"/>
      <w:bookmarkEnd w:id="113"/>
      <w:bookmarkStart w:id="114" w:name="_Toc16938542"/>
      <w:bookmarkEnd w:id="114"/>
      <w:bookmarkStart w:id="115" w:name="_Toc513029226"/>
    </w:p>
    <w:p w14:paraId="4D0CC035">
      <w:pPr>
        <w:pStyle w:val="81"/>
        <w:keepNext/>
        <w:keepLines/>
        <w:spacing w:beforeAutospacing="0" w:afterAutospacing="0"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19、提交投标文件截止时间</w:t>
      </w:r>
    </w:p>
    <w:p w14:paraId="163EFCCA">
      <w:pPr>
        <w:pStyle w:val="81"/>
        <w:spacing w:beforeAutospacing="0" w:afterAutospacing="0" w:line="360" w:lineRule="auto"/>
        <w:ind w:firstLine="482"/>
        <w:jc w:val="both"/>
        <w:rPr>
          <w:rFonts w:hint="eastAsia" w:ascii="宋体" w:hAnsi="宋体" w:eastAsia="宋体" w:cs="宋体"/>
          <w:b w:val="0"/>
          <w:bCs w:val="0"/>
          <w:i/>
          <w:iCs w:val="0"/>
          <w:color w:val="000000"/>
          <w:sz w:val="24"/>
          <w:szCs w:val="24"/>
          <w:u w:val="single"/>
        </w:rPr>
      </w:pPr>
      <w:r>
        <w:rPr>
          <w:rFonts w:hint="eastAsia" w:ascii="宋体" w:hAnsi="宋体" w:eastAsia="宋体" w:cs="宋体"/>
          <w:b w:val="0"/>
          <w:bCs w:val="0"/>
          <w:i/>
          <w:iCs w:val="0"/>
          <w:color w:val="000000"/>
          <w:sz w:val="24"/>
          <w:szCs w:val="24"/>
          <w:u w:val="single"/>
        </w:rPr>
        <w:t>19.1</w:t>
      </w:r>
      <w:r>
        <w:rPr>
          <w:rFonts w:hint="eastAsia" w:ascii="宋体" w:hAnsi="宋体" w:eastAsia="宋体" w:cs="宋体"/>
          <w:i/>
          <w:iCs/>
          <w:color w:val="auto"/>
          <w:sz w:val="24"/>
          <w:szCs w:val="24"/>
          <w:highlight w:val="none"/>
          <w:u w:val="single"/>
          <w:shd w:val="clear" w:color="auto" w:fill="auto"/>
        </w:rPr>
        <w:t>供应商</w:t>
      </w:r>
      <w:r>
        <w:rPr>
          <w:rFonts w:hint="eastAsia" w:ascii="宋体" w:hAnsi="宋体" w:eastAsia="宋体" w:cs="宋体"/>
          <w:b w:val="0"/>
          <w:bCs w:val="0"/>
          <w:i/>
          <w:iCs/>
          <w:color w:val="000000"/>
          <w:sz w:val="24"/>
          <w:szCs w:val="24"/>
          <w:u w:val="single"/>
        </w:rPr>
        <w:t>上</w:t>
      </w:r>
      <w:r>
        <w:rPr>
          <w:rFonts w:hint="eastAsia" w:ascii="宋体" w:hAnsi="宋体" w:eastAsia="宋体" w:cs="宋体"/>
          <w:b w:val="0"/>
          <w:bCs w:val="0"/>
          <w:i/>
          <w:iCs w:val="0"/>
          <w:color w:val="000000"/>
          <w:sz w:val="24"/>
          <w:szCs w:val="24"/>
          <w:u w:val="single"/>
        </w:rPr>
        <w:t>传电子投标文件的时间不得迟于单一来源采购邀请中规定的截止时间</w:t>
      </w:r>
      <w:bookmarkStart w:id="116" w:name="_Toc513029227"/>
      <w:bookmarkStart w:id="117" w:name="_Toc16938543"/>
      <w:bookmarkStart w:id="118" w:name="_Toc20823299"/>
    </w:p>
    <w:p w14:paraId="4CF5F8FD">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应充分考虑到网络环境、网络带宽等风险因素，如因</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自身原因造成的电子投标文件上传不成功由</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自行承担全部责任。</w:t>
      </w:r>
      <w:bookmarkEnd w:id="116"/>
      <w:bookmarkEnd w:id="117"/>
      <w:bookmarkEnd w:id="118"/>
    </w:p>
    <w:p w14:paraId="46413BB9">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19.2 采购人可以按照规定，通过修改采购文件酌情延长截止时间，在此情况下，</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的所有权利和义务以及</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受制的截止时间以延长后新的截止时间为准。</w:t>
      </w:r>
    </w:p>
    <w:p w14:paraId="72518137">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20、投标文件的拒收</w:t>
      </w:r>
    </w:p>
    <w:p w14:paraId="6B557E30">
      <w:pPr>
        <w:pStyle w:val="81"/>
        <w:spacing w:beforeAutospacing="0" w:afterAutospacing="0" w:line="360" w:lineRule="auto"/>
        <w:ind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20.1采购人拒绝接收在其规定的截止时间后上传的任何电子投标文件。</w:t>
      </w:r>
    </w:p>
    <w:p w14:paraId="0AFF2AC5">
      <w:pPr>
        <w:pStyle w:val="81"/>
        <w:tabs>
          <w:tab w:val="right" w:pos="9072"/>
        </w:tabs>
        <w:spacing w:beforeAutospacing="0" w:afterAutospacing="0" w:line="360" w:lineRule="auto"/>
        <w:ind w:left="559"/>
        <w:jc w:val="both"/>
        <w:rPr>
          <w:rFonts w:hint="eastAsia" w:ascii="宋体" w:hAnsi="宋体" w:eastAsia="宋体" w:cs="宋体"/>
          <w:color w:val="000000"/>
          <w:sz w:val="24"/>
          <w:szCs w:val="24"/>
        </w:rPr>
      </w:pPr>
      <w:bookmarkStart w:id="119" w:name="_Toc20823300"/>
      <w:bookmarkStart w:id="120" w:name="_Toc513029228"/>
      <w:bookmarkStart w:id="121" w:name="_Toc16938544"/>
      <w:r>
        <w:rPr>
          <w:rFonts w:hint="eastAsia" w:ascii="宋体" w:hAnsi="宋体" w:eastAsia="宋体" w:cs="宋体"/>
          <w:color w:val="000000"/>
          <w:sz w:val="24"/>
          <w:szCs w:val="24"/>
        </w:rPr>
        <w:t>21、投标文件的撤回和修改</w:t>
      </w:r>
      <w:bookmarkEnd w:id="119"/>
      <w:bookmarkEnd w:id="120"/>
      <w:bookmarkEnd w:id="121"/>
    </w:p>
    <w:p w14:paraId="36DA6016">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left="559"/>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21.1投标文件的撤回</w:t>
      </w:r>
    </w:p>
    <w:p w14:paraId="6545A3E1">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left="559"/>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21.1.1 电子投标文件的撤回</w:t>
      </w:r>
    </w:p>
    <w:p w14:paraId="067F9059">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可在截止时间前，撤回其电子投标文件，具体操作方法见《操作手册》。</w:t>
      </w:r>
    </w:p>
    <w:p w14:paraId="13002BF4">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21.1.2</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撤回电子投标文件，则认为其不再参与本项目采购活动。</w:t>
      </w:r>
    </w:p>
    <w:p w14:paraId="5A4E4BF0">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21.2投标文件的修改</w:t>
      </w:r>
    </w:p>
    <w:p w14:paraId="219612A6">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可在截止时间前，对其电子投标文件进行修改，具体操作方法见《操作手册》。</w:t>
      </w:r>
    </w:p>
    <w:p w14:paraId="6206C28E">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21.3在截止时间之后，</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不得对其电子投标文件作任何修改。</w:t>
      </w:r>
    </w:p>
    <w:p w14:paraId="2CFA5058">
      <w:pPr>
        <w:pStyle w:val="81"/>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21.4在截止时间至有效期满之间的这段时间内，</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不得撤回其投标文件。</w:t>
      </w:r>
      <w:bookmarkStart w:id="122" w:name="_Toc120614218"/>
      <w:bookmarkStart w:id="123" w:name="_Toc16938545"/>
      <w:bookmarkStart w:id="124" w:name="_Toc20823301"/>
      <w:bookmarkStart w:id="125" w:name="_Toc513029229"/>
    </w:p>
    <w:bookmarkEnd w:id="122"/>
    <w:bookmarkEnd w:id="123"/>
    <w:bookmarkEnd w:id="124"/>
    <w:bookmarkEnd w:id="125"/>
    <w:p w14:paraId="7FB4B1C5">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五、响应文件的解密与评审</w:t>
      </w:r>
    </w:p>
    <w:p w14:paraId="6341D5D0">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26" w:name="_Toc513029230"/>
      <w:bookmarkStart w:id="127" w:name="_Toc16938546"/>
      <w:bookmarkStart w:id="128" w:name="_Toc20823302"/>
      <w:r>
        <w:rPr>
          <w:rFonts w:hint="eastAsia" w:ascii="宋体" w:hAnsi="宋体" w:eastAsia="宋体" w:cs="宋体"/>
          <w:color w:val="auto"/>
          <w:sz w:val="24"/>
          <w:szCs w:val="24"/>
          <w:highlight w:val="none"/>
          <w:shd w:val="clear" w:color="auto" w:fill="auto"/>
        </w:rPr>
        <w:t>22、</w:t>
      </w:r>
      <w:bookmarkEnd w:id="126"/>
      <w:bookmarkEnd w:id="127"/>
      <w:bookmarkEnd w:id="128"/>
      <w:r>
        <w:rPr>
          <w:rFonts w:hint="eastAsia" w:ascii="宋体" w:hAnsi="宋体" w:eastAsia="宋体" w:cs="宋体"/>
          <w:color w:val="auto"/>
          <w:sz w:val="24"/>
          <w:szCs w:val="24"/>
          <w:highlight w:val="none"/>
          <w:shd w:val="clear" w:color="auto" w:fill="auto"/>
        </w:rPr>
        <w:t>响应文件解密</w:t>
      </w:r>
    </w:p>
    <w:p w14:paraId="2F4A661C">
      <w:pPr>
        <w:pStyle w:val="2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22.1供应商应当按照《操作手册》规定，在苏采云系统规定的时间内对响应文件进行解密。</w:t>
      </w:r>
    </w:p>
    <w:p w14:paraId="54E1BC9E">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29" w:name="_Toc513029231"/>
      <w:bookmarkStart w:id="130" w:name="_Toc16938547"/>
      <w:bookmarkStart w:id="131" w:name="_Toc20823303"/>
      <w:r>
        <w:rPr>
          <w:rFonts w:hint="eastAsia" w:ascii="宋体" w:hAnsi="宋体" w:eastAsia="宋体" w:cs="宋体"/>
          <w:color w:val="auto"/>
          <w:sz w:val="24"/>
          <w:szCs w:val="24"/>
          <w:highlight w:val="none"/>
          <w:shd w:val="clear" w:color="auto" w:fill="auto"/>
        </w:rPr>
        <w:t>23、单一来源协商小组</w:t>
      </w:r>
      <w:bookmarkEnd w:id="129"/>
      <w:bookmarkEnd w:id="130"/>
      <w:bookmarkEnd w:id="131"/>
    </w:p>
    <w:p w14:paraId="55902E8E">
      <w:pPr>
        <w:pStyle w:val="2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23.1单一来源协商小组（以下简称“协商小组”）由政府采购评审专家、采购人代表组成，且人员构成符合政府采购有关规定。</w:t>
      </w:r>
    </w:p>
    <w:p w14:paraId="1A84CCE0">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23.2协商小组应当按照客观、公正、审慎的原则评审供应商的响应文件，并与供应商协商采购标的的价格。</w:t>
      </w:r>
    </w:p>
    <w:p w14:paraId="15C4A6B7">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24、单一来源协商过程的保密与公正</w:t>
      </w:r>
    </w:p>
    <w:p w14:paraId="69D57DC1">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bookmarkStart w:id="132" w:name="_Toc513029232"/>
      <w:bookmarkStart w:id="133" w:name="_Toc16938548"/>
      <w:bookmarkStart w:id="134" w:name="_Toc20823304"/>
      <w:r>
        <w:rPr>
          <w:rFonts w:hint="eastAsia" w:ascii="宋体" w:hAnsi="宋体" w:eastAsia="宋体" w:cs="宋体"/>
          <w:color w:val="auto"/>
          <w:sz w:val="24"/>
          <w:szCs w:val="24"/>
          <w:highlight w:val="none"/>
          <w:shd w:val="clear" w:color="auto" w:fill="auto"/>
        </w:rPr>
        <w:t>24.1协商小组、采购人和</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32"/>
      <w:bookmarkEnd w:id="133"/>
      <w:bookmarkEnd w:id="134"/>
    </w:p>
    <w:p w14:paraId="190BB1E6">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24.2在协商过程中，供应商不得以任何行为影响评审及协商过程，否则将会导致其响应文件被拒绝。</w:t>
      </w:r>
    </w:p>
    <w:p w14:paraId="2D14609E">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25、评审及协商过程中的澄清</w:t>
      </w:r>
    </w:p>
    <w:p w14:paraId="74DA9EC6">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25.1项目评审及协商过程中，协商小组有权要求供应商对响应文件中含义不明确、同类问题表述不一致或者有明显文字和计算错误的内容等作出必要的澄清、说明或者更正。</w:t>
      </w:r>
    </w:p>
    <w:p w14:paraId="6B9584FD">
      <w:pPr>
        <w:pStyle w:val="29"/>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324D4A">
      <w:pPr>
        <w:pStyle w:val="29"/>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25.3 接到协商小组澄清、说明和更正要求的供应商如未按规定做出澄清、说明和 更正，其风险由供应商自行承担。</w:t>
      </w:r>
    </w:p>
    <w:p w14:paraId="12801BFC">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35" w:name="_Toc20823305"/>
      <w:bookmarkStart w:id="136" w:name="_Toc16938549"/>
      <w:bookmarkStart w:id="137" w:name="_Toc513029233"/>
      <w:r>
        <w:rPr>
          <w:rFonts w:hint="eastAsia" w:ascii="宋体" w:hAnsi="宋体" w:eastAsia="宋体" w:cs="宋体"/>
          <w:color w:val="auto"/>
          <w:sz w:val="24"/>
          <w:szCs w:val="24"/>
          <w:highlight w:val="none"/>
          <w:shd w:val="clear" w:color="auto" w:fill="auto"/>
        </w:rPr>
        <w:t>26、对响应文件的审</w:t>
      </w:r>
      <w:bookmarkEnd w:id="135"/>
      <w:bookmarkEnd w:id="136"/>
      <w:bookmarkEnd w:id="137"/>
      <w:r>
        <w:rPr>
          <w:rFonts w:hint="eastAsia" w:ascii="宋体" w:hAnsi="宋体" w:eastAsia="宋体" w:cs="宋体"/>
          <w:color w:val="auto"/>
          <w:sz w:val="24"/>
          <w:szCs w:val="24"/>
          <w:highlight w:val="none"/>
          <w:shd w:val="clear" w:color="auto" w:fill="auto"/>
        </w:rPr>
        <w:t>查</w:t>
      </w:r>
    </w:p>
    <w:p w14:paraId="08BCEE13">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60FE28DC">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资格审查：由协商小组依据法律法规和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文件的规定，对响应文件中的资格证明文件进行审查，以确定供应商是否具备参加单一来源协商的资格。</w:t>
      </w:r>
    </w:p>
    <w:p w14:paraId="27951940">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协商小组在进行资格审查的同时，将在“信用中国”网站（www.creditchina.gov.cn）查询供应商的信用记录，以确定供应商是否具备协商资格,查询结果留存并归档。</w:t>
      </w:r>
    </w:p>
    <w:p w14:paraId="417D0FF2">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5D3353D6">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文件的实质性要求作出响应。</w:t>
      </w:r>
    </w:p>
    <w:p w14:paraId="461CCA83">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未通过资格审查或符合性审查的供应商，协商小组将在苏采云系统中告知未通过资格审查或符合性审查的原因，评审结束后，协商小组将不再告知未通过资格审查或符合性审查的原因。</w:t>
      </w:r>
    </w:p>
    <w:p w14:paraId="28AD13FC">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26.2在正式进行协商之前，协商小组将首先审查每份响应文件是否实质性响应了采购文件的要求。实质性响应的响应文件应该是与采购文件要求的条款、条件和规格相符，没有重大偏离或保留。</w:t>
      </w:r>
    </w:p>
    <w:p w14:paraId="6C78FF3E">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14:paraId="555B8A98">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26.3未实质性响应采购文件的情形</w:t>
      </w:r>
    </w:p>
    <w:p w14:paraId="3808956D">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08775EA6">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26.3.2供应商未按照采购文件要求上传电子响应文件的。</w:t>
      </w:r>
    </w:p>
    <w:p w14:paraId="7D67DF17">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26.3.3供应商提交两个（含两个）以上不同的响应文件或者最后报价的。</w:t>
      </w:r>
    </w:p>
    <w:p w14:paraId="70EE38FB">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26.3.4供应商不具备采购文件中规定资格要求的。</w:t>
      </w:r>
    </w:p>
    <w:p w14:paraId="686C1DF9">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03B817CE">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26.3.6不符合采购文件中规定的实质性要求和条件的</w:t>
      </w:r>
      <w:r>
        <w:rPr>
          <w:rFonts w:hint="eastAsia" w:ascii="宋体" w:hAnsi="宋体" w:eastAsia="宋体" w:cs="宋体"/>
          <w:i/>
          <w:color w:val="auto"/>
          <w:sz w:val="24"/>
          <w:szCs w:val="24"/>
          <w:highlight w:val="none"/>
          <w:u w:val="single"/>
          <w:shd w:val="clear" w:color="auto" w:fill="auto"/>
        </w:rPr>
        <w:t>（本采购文件中斜体且有下划线部分为实质性要求和条件）。</w:t>
      </w:r>
    </w:p>
    <w:p w14:paraId="203D8E64">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0C1823A">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14:paraId="0AB2CAD8">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协商小组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000000"/>
          <w:kern w:val="0"/>
          <w:sz w:val="24"/>
          <w:szCs w:val="24"/>
          <w:highlight w:val="none"/>
          <w:lang w:val="en-US" w:eastAsia="zh-CN" w:bidi="ar-SA"/>
        </w:rPr>
        <w:t>响应</w:t>
      </w:r>
      <w:r>
        <w:rPr>
          <w:rFonts w:hint="eastAsia" w:ascii="宋体" w:hAnsi="宋体" w:eastAsia="宋体" w:cs="宋体"/>
          <w:color w:val="auto"/>
          <w:sz w:val="24"/>
          <w:szCs w:val="24"/>
          <w:highlight w:val="none"/>
        </w:rPr>
        <w:t>处理。</w:t>
      </w:r>
    </w:p>
    <w:p w14:paraId="2D0657BF">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评审过程中出现下列情形之一的，协商小组应当启动异常低价响应审查程序：</w:t>
      </w:r>
    </w:p>
    <w:p w14:paraId="08E26264">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1.投标（响应）报价低于采购项目最高限价45%的，即投标（响应）报价&lt;采购项目最高限价×45%；</w:t>
      </w:r>
    </w:p>
    <w:p w14:paraId="6B93ED46">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2评审委员会基于专业判断，认为供应商报价过低，有可能影响产品质量或者不能诚信履约的其他情形。</w:t>
      </w:r>
    </w:p>
    <w:p w14:paraId="6E14DBF3">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14:paraId="219CBEC1">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29"/>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295B2190">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26.3.10</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14:paraId="349D7929">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26.4未实质性响应采购文件的响应文件按无效响应处理。</w:t>
      </w:r>
    </w:p>
    <w:p w14:paraId="0BDD3CD3">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26.5如果响应文件实质上没有响应采购文件的要求，协商小组将予以拒绝。</w:t>
      </w:r>
    </w:p>
    <w:p w14:paraId="1A43AACC">
      <w:pPr>
        <w:pStyle w:val="2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bookmarkStart w:id="138" w:name="_Toc16938550"/>
      <w:bookmarkStart w:id="139" w:name="_Toc513029234"/>
      <w:bookmarkStart w:id="140" w:name="_Toc20823306"/>
      <w:r>
        <w:rPr>
          <w:rFonts w:hint="eastAsia" w:ascii="宋体" w:hAnsi="宋体" w:eastAsia="宋体" w:cs="宋体"/>
          <w:color w:val="auto"/>
          <w:sz w:val="24"/>
          <w:szCs w:val="24"/>
          <w:highlight w:val="none"/>
          <w:shd w:val="clear" w:color="auto" w:fill="auto"/>
        </w:rPr>
        <w:t>26.6供应商在项目评审及协商全过程中应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，并安排专人与采购中心及协商小组联系。</w:t>
      </w:r>
      <w:bookmarkEnd w:id="138"/>
      <w:bookmarkEnd w:id="139"/>
      <w:bookmarkEnd w:id="140"/>
    </w:p>
    <w:p w14:paraId="1F2D8CD9">
      <w:pPr>
        <w:pStyle w:val="29"/>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27、单一来源协商及成交原则</w:t>
      </w:r>
    </w:p>
    <w:p w14:paraId="3B986E9C">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27.1单一来源协商</w:t>
      </w:r>
    </w:p>
    <w:p w14:paraId="0074F6AA">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 对于通过资格审查和符合性审查的供应商，协商小组将通过苏采云系统与其就采购标的的价格、服务等内容进行单一来源协商。</w:t>
      </w:r>
    </w:p>
    <w:p w14:paraId="11941D36">
      <w:pPr>
        <w:pStyle w:val="29"/>
        <w:pageBreakBefore w:val="0"/>
        <w:widowControl w:val="0"/>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27.1.2供应商应当在苏采云系统中以书面形式对协商过程中做出的承诺与澄清进行确认，并在协商小组规定的时间内完成最后报价。</w:t>
      </w:r>
    </w:p>
    <w:p w14:paraId="6D0DB914">
      <w:pPr>
        <w:pStyle w:val="2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49EE4BB8">
      <w:pPr>
        <w:pStyle w:val="2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27.2成交原则</w:t>
      </w:r>
    </w:p>
    <w:p w14:paraId="3D0A9CB0">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14:paraId="0DFEA3DB">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27.3单一来源协商终止情形处理</w:t>
      </w:r>
    </w:p>
    <w:p w14:paraId="63E132DD">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将终止采购活动，发布项目终止公告并说明原因，重新开展采购活动：</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27.3.1 因情况变化，不再符合规定的单一来源采购方式适用情形的；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27.3.2 出现影响采购公正的违法、违规行为的；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27.3.3供应商最后报价超过采购预算的；</w:t>
      </w:r>
    </w:p>
    <w:p w14:paraId="0CB4A3AE">
      <w:pPr>
        <w:pStyle w:val="2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27.3.4供应商的技术方案、服务承诺、商务条款等不能满足采购人或协商小组的要求；</w:t>
      </w:r>
    </w:p>
    <w:p w14:paraId="3940C9DC">
      <w:pPr>
        <w:pStyle w:val="2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shd w:val="clear" w:color="auto" w:fill="auto"/>
        </w:rPr>
        <w:t>27.3.5 法律、法规、规章规定的其他应当终止的情形。</w:t>
      </w:r>
    </w:p>
    <w:p w14:paraId="6A9F03BE">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六、成交</w:t>
      </w:r>
    </w:p>
    <w:p w14:paraId="179F19F1">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28、确定</w:t>
      </w:r>
      <w:r>
        <w:rPr>
          <w:rFonts w:hint="eastAsia" w:ascii="宋体" w:hAnsi="宋体" w:eastAsia="宋体" w:cs="宋体"/>
          <w:color w:val="000000"/>
          <w:sz w:val="24"/>
          <w:szCs w:val="24"/>
          <w:lang w:eastAsia="zh-CN"/>
        </w:rPr>
        <w:t>成交供应商</w:t>
      </w:r>
    </w:p>
    <w:p w14:paraId="05149599">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28.1</w:t>
      </w:r>
      <w:r>
        <w:rPr>
          <w:rFonts w:hint="eastAsia" w:ascii="宋体" w:hAnsi="宋体" w:eastAsia="宋体" w:cs="宋体"/>
          <w:color w:val="000000"/>
          <w:sz w:val="24"/>
          <w:szCs w:val="24"/>
          <w:lang w:eastAsia="zh-CN"/>
        </w:rPr>
        <w:t>协商小组</w:t>
      </w:r>
      <w:r>
        <w:rPr>
          <w:rFonts w:hint="eastAsia" w:ascii="宋体" w:hAnsi="宋体" w:eastAsia="宋体" w:cs="宋体"/>
          <w:color w:val="000000"/>
          <w:sz w:val="24"/>
          <w:szCs w:val="24"/>
        </w:rPr>
        <w:t>根据谈判情况编写单一来源评审报告，推荐成交候选</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w:t>
      </w:r>
    </w:p>
    <w:p w14:paraId="2025A149">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28.2 采购人根据</w:t>
      </w:r>
      <w:r>
        <w:rPr>
          <w:rFonts w:hint="eastAsia" w:ascii="宋体" w:hAnsi="宋体" w:eastAsia="宋体" w:cs="宋体"/>
          <w:color w:val="000000"/>
          <w:sz w:val="24"/>
          <w:szCs w:val="24"/>
          <w:lang w:eastAsia="zh-CN"/>
        </w:rPr>
        <w:t>协商小组</w:t>
      </w:r>
      <w:r>
        <w:rPr>
          <w:rFonts w:hint="eastAsia" w:ascii="宋体" w:hAnsi="宋体" w:eastAsia="宋体" w:cs="宋体"/>
          <w:color w:val="000000"/>
          <w:sz w:val="24"/>
          <w:szCs w:val="24"/>
        </w:rPr>
        <w:t>推荐的成交候选</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确定</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w:t>
      </w:r>
    </w:p>
    <w:p w14:paraId="28B8A6C5">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 若有充分证据证明，</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出现下列情况之一的，一经查实，将被取消成交资格：</w:t>
      </w:r>
    </w:p>
    <w:p w14:paraId="1B42D369">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28.3.1提供虚假材料谋取成交的。</w:t>
      </w:r>
    </w:p>
    <w:p w14:paraId="1ACFE033">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28.3.2与评审专家、采购人、其他</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或者采购人工作人员恶意串通的。</w:t>
      </w:r>
    </w:p>
    <w:p w14:paraId="722CFEB9">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28.3.3向评审专家、采购人或采购人工作人员行贿或者提供其他不正当利益的。</w:t>
      </w:r>
    </w:p>
    <w:p w14:paraId="304D55E6">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28.3.4恶意竞争，最后报价明显低于其自身合理成本且又无法提供证明的。</w:t>
      </w:r>
    </w:p>
    <w:p w14:paraId="3A1268C3">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28.3.5不满足本采购文件规定的实质性要求，但在评审过程中又未被</w:t>
      </w:r>
      <w:r>
        <w:rPr>
          <w:rFonts w:hint="eastAsia" w:ascii="宋体" w:hAnsi="宋体" w:eastAsia="宋体" w:cs="宋体"/>
          <w:color w:val="000000"/>
          <w:sz w:val="24"/>
          <w:szCs w:val="24"/>
          <w:lang w:eastAsia="zh-CN"/>
        </w:rPr>
        <w:t>协商小组</w:t>
      </w:r>
      <w:r>
        <w:rPr>
          <w:rFonts w:hint="eastAsia" w:ascii="宋体" w:hAnsi="宋体" w:eastAsia="宋体" w:cs="宋体"/>
          <w:color w:val="000000"/>
          <w:sz w:val="24"/>
          <w:szCs w:val="24"/>
        </w:rPr>
        <w:t>发现的。</w:t>
      </w:r>
    </w:p>
    <w:p w14:paraId="32985724">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28.3.6成交后无正当理由拒不与采购人签订政府采购合同或者未按照采购文件确定的事项签订政府采购合同的。</w:t>
      </w:r>
    </w:p>
    <w:p w14:paraId="0F7112FE">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28.3.7将政府采购合同转包的。</w:t>
      </w:r>
    </w:p>
    <w:p w14:paraId="3FF8488B">
      <w:pPr>
        <w:pStyle w:val="81"/>
        <w:keepNext w:val="0"/>
        <w:keepLines w:val="0"/>
        <w:pageBreakBefore w:val="0"/>
        <w:widowControl w:val="0"/>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被取消成交资格后，采购人有权重新组织采购。</w:t>
      </w:r>
      <w:bookmarkStart w:id="141" w:name="_Toc200451960"/>
    </w:p>
    <w:p w14:paraId="2E5F7E3A">
      <w:pPr>
        <w:pStyle w:val="81"/>
        <w:keepNext w:val="0"/>
        <w:keepLines w:val="0"/>
        <w:pageBreakBefore w:val="0"/>
        <w:widowControl w:val="0"/>
        <w:numPr>
          <w:ilvl w:val="0"/>
          <w:numId w:val="2"/>
        </w:numPr>
        <w:tabs>
          <w:tab w:val="right" w:pos="9072"/>
        </w:tabs>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质疑处理</w:t>
      </w:r>
      <w:bookmarkEnd w:id="141"/>
    </w:p>
    <w:p w14:paraId="1EF318EF">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29.1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认为采购过程和采购结果使自己的权益受到损害的，可以从采购结果公布之日起七个工作日内，以书面形式向采购人提出质疑。</w:t>
      </w:r>
      <w:r>
        <w:rPr>
          <w:rFonts w:hint="eastAsia" w:ascii="宋体" w:hAnsi="宋体" w:eastAsia="宋体" w:cs="宋体"/>
          <w:color w:val="000000"/>
          <w:sz w:val="24"/>
          <w:szCs w:val="24"/>
          <w:lang w:val="en-US" w:eastAsia="zh-CN"/>
        </w:rPr>
        <w:t xml:space="preserve"> </w:t>
      </w:r>
    </w:p>
    <w:p w14:paraId="1BE8D5FD">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应当在法定质疑期内一次性提出针对同一采购程序环节的质疑。</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如在法定期限内对同一采购程序环节提出多次质疑的，采购人、</w:t>
      </w:r>
      <w:r>
        <w:rPr>
          <w:rFonts w:hint="eastAsia" w:ascii="宋体" w:hAnsi="宋体" w:eastAsia="宋体" w:cs="宋体"/>
          <w:color w:val="000000"/>
          <w:sz w:val="24"/>
          <w:szCs w:val="24"/>
          <w:lang w:val="en-US" w:eastAsia="zh-CN"/>
        </w:rPr>
        <w:t>代理机构</w:t>
      </w:r>
      <w:r>
        <w:rPr>
          <w:rFonts w:hint="eastAsia" w:ascii="宋体" w:hAnsi="宋体" w:eastAsia="宋体" w:cs="宋体"/>
          <w:color w:val="000000"/>
          <w:sz w:val="24"/>
          <w:szCs w:val="24"/>
        </w:rPr>
        <w:t>将只对</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第一次质疑作出答复。</w:t>
      </w:r>
    </w:p>
    <w:p w14:paraId="6AACB398">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29.3质疑函必须按照本采购文件中《质疑函范本》要求的格式和内容进行填写。</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如组成联合体参加谈判，则《质疑函范本》中要求签字、盖章、加盖公章之处，联合体各方均须按要求签字、盖章、加盖公章。</w:t>
      </w:r>
    </w:p>
    <w:p w14:paraId="1C16B8A9">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29.4 采购人和采购代理机构只接收以纸质原件形式送达的质疑,采购人和采购代理机构不接受未填写快递运单的快件。</w:t>
      </w:r>
    </w:p>
    <w:p w14:paraId="5295C435">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 以下情形的质疑不予受理</w:t>
      </w:r>
    </w:p>
    <w:p w14:paraId="48F5B940">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29.5.1 内容不符合《政府采购质疑和投诉办法》第十二条规定的质疑。</w:t>
      </w:r>
    </w:p>
    <w:p w14:paraId="40A2216F">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29.5.2 超出政府采购法定期限的质疑。</w:t>
      </w:r>
    </w:p>
    <w:p w14:paraId="0C50C7B0">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29.5.3 以传真、电子邮件等方式递交的非原件形式的质疑。</w:t>
      </w:r>
    </w:p>
    <w:p w14:paraId="51F1EF60">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29.5.4未参加单一来源采购活动的</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所提出的质疑。</w:t>
      </w:r>
    </w:p>
    <w:p w14:paraId="0BDF42FB">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29.5.5</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组成联合体参加谈判，联合体中任何一方或多方未按要求签字、盖章、加盖公章的质疑。</w:t>
      </w:r>
    </w:p>
    <w:p w14:paraId="49301C3C">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29.6</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进行相应的行政处罚和记录该</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000000"/>
          <w:sz w:val="24"/>
          <w:szCs w:val="24"/>
        </w:rPr>
        <w:t>的失信信息。</w:t>
      </w:r>
    </w:p>
    <w:p w14:paraId="44E75B53">
      <w:pPr>
        <w:pStyle w:val="81"/>
        <w:keepNext w:val="0"/>
        <w:keepLines w:val="0"/>
        <w:pageBreakBefore w:val="0"/>
        <w:widowControl w:val="0"/>
        <w:numPr>
          <w:ilvl w:val="0"/>
          <w:numId w:val="2"/>
        </w:numPr>
        <w:tabs>
          <w:tab w:val="right" w:pos="9072"/>
        </w:tabs>
        <w:kinsoku/>
        <w:wordWrap/>
        <w:overflowPunct/>
        <w:topLinePunct w:val="0"/>
        <w:autoSpaceDE/>
        <w:autoSpaceDN/>
        <w:bidi w:val="0"/>
        <w:adjustRightInd/>
        <w:snapToGrid/>
        <w:spacing w:beforeAutospacing="0" w:afterAutospacing="0" w:line="500" w:lineRule="exact"/>
        <w:ind w:left="0" w:firstLine="56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中标通知书</w:t>
      </w:r>
    </w:p>
    <w:p w14:paraId="1C266F10">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30.1中标结果确定后，采购人将向</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发出中标通知书。请</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自行承担。</w:t>
      </w:r>
    </w:p>
    <w:p w14:paraId="26C24759">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30.2中标通知书将是合同的一个组成部分。对采购人和</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均具有法律效力。中标通知书发出后，采购人改变中标结果的，或者</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放弃成交项目的，应当依法承担法律责任。</w:t>
      </w:r>
      <w:bookmarkStart w:id="142" w:name="_Toc120614220"/>
      <w:bookmarkStart w:id="143" w:name="_Toc16938552"/>
      <w:bookmarkStart w:id="144" w:name="_Toc513029236"/>
      <w:bookmarkStart w:id="145" w:name="_Toc20823308"/>
    </w:p>
    <w:p w14:paraId="0DB43EA8">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七、授予合同</w:t>
      </w:r>
      <w:bookmarkEnd w:id="142"/>
      <w:bookmarkEnd w:id="143"/>
      <w:bookmarkEnd w:id="144"/>
      <w:bookmarkEnd w:id="145"/>
      <w:bookmarkStart w:id="146" w:name="_Toc16938553"/>
      <w:bookmarkStart w:id="147" w:name="_Toc513029237"/>
      <w:bookmarkStart w:id="148" w:name="_Toc20823309"/>
    </w:p>
    <w:p w14:paraId="3BA9F3D3">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 签订合同</w:t>
      </w:r>
      <w:bookmarkEnd w:id="146"/>
      <w:bookmarkEnd w:id="147"/>
      <w:bookmarkEnd w:id="148"/>
    </w:p>
    <w:p w14:paraId="7BE4B8DD">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31.l</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应当在中标通知书发出之日起三十日内，按照采购文件确定的事项与采购人签订政府采购合同。</w:t>
      </w:r>
    </w:p>
    <w:p w14:paraId="159E50CD">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31.2采购文件、</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的投标文件及谈判过程中有关澄清、承诺文件均应作为合同附件。</w:t>
      </w:r>
    </w:p>
    <w:p w14:paraId="6AA474E9">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31.3 签订合同后，</w:t>
      </w:r>
      <w:r>
        <w:rPr>
          <w:rFonts w:hint="eastAsia" w:ascii="宋体" w:hAnsi="宋体" w:eastAsia="宋体" w:cs="宋体"/>
          <w:b w:val="0"/>
          <w:bCs w:val="0"/>
          <w:i/>
          <w:iCs w:val="0"/>
          <w:color w:val="000000"/>
          <w:sz w:val="24"/>
          <w:szCs w:val="24"/>
          <w:u w:val="single"/>
          <w:lang w:eastAsia="zh-CN"/>
        </w:rPr>
        <w:t>成交供应商</w:t>
      </w:r>
      <w:r>
        <w:rPr>
          <w:rFonts w:hint="eastAsia" w:ascii="宋体" w:hAnsi="宋体" w:eastAsia="宋体" w:cs="宋体"/>
          <w:b w:val="0"/>
          <w:bCs w:val="0"/>
          <w:i/>
          <w:iCs w:val="0"/>
          <w:color w:val="000000"/>
          <w:sz w:val="24"/>
          <w:szCs w:val="24"/>
          <w:u w:val="single"/>
        </w:rPr>
        <w:t>不得将合同标的进行转包</w:t>
      </w:r>
      <w:r>
        <w:rPr>
          <w:rFonts w:hint="eastAsia" w:ascii="宋体" w:hAnsi="宋体" w:eastAsia="宋体" w:cs="宋体"/>
          <w:b w:val="0"/>
          <w:bCs w:val="0"/>
          <w:i/>
          <w:iCs w:val="0"/>
          <w:color w:val="000000"/>
          <w:sz w:val="24"/>
          <w:szCs w:val="24"/>
        </w:rPr>
        <w:t>。</w:t>
      </w:r>
      <w:r>
        <w:rPr>
          <w:rFonts w:hint="eastAsia" w:ascii="宋体" w:hAnsi="宋体" w:eastAsia="宋体" w:cs="宋体"/>
          <w:color w:val="000000"/>
          <w:sz w:val="24"/>
          <w:szCs w:val="24"/>
        </w:rPr>
        <w:t>未经采购人同意，</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也不得采用分包形式履行合同,否则采购人有权终止合同。转包或分包造成采购人损失的，</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应承担相应赔偿责任。</w:t>
      </w:r>
    </w:p>
    <w:p w14:paraId="3AAD7E8A">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32、标的物的追加</w:t>
      </w:r>
    </w:p>
    <w:p w14:paraId="6F464830">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32.1政府采购合同履行中，采购人需追加与合同标的相同的货物、服务（包含与货物相关的服务及与服务相关的货物）的，在不改变合同其他条款的前提下，可以与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color w:val="000000"/>
          <w:sz w:val="24"/>
          <w:szCs w:val="24"/>
          <w:lang w:eastAsia="zh-CN"/>
        </w:rPr>
        <w:t>成交供应商协商签订补充合同，但所有补充合同的采购金额不超过原合同金额10%。</w:t>
      </w:r>
      <w:bookmarkStart w:id="149" w:name="_Toc513029242"/>
      <w:bookmarkStart w:id="150" w:name="_Toc479757207"/>
      <w:bookmarkStart w:id="151" w:name="_Toc20823314"/>
      <w:bookmarkStart w:id="152" w:name="_Toc16938558"/>
      <w:bookmarkStart w:id="153" w:name="_Toc120614221"/>
    </w:p>
    <w:bookmarkEnd w:id="149"/>
    <w:bookmarkEnd w:id="150"/>
    <w:bookmarkEnd w:id="151"/>
    <w:bookmarkEnd w:id="152"/>
    <w:bookmarkEnd w:id="153"/>
    <w:p w14:paraId="720EEBF9">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val="en-US" w:eastAsia="zh-CN"/>
        </w:rPr>
      </w:pPr>
      <w:bookmarkStart w:id="154" w:name="_Toc479757211"/>
      <w:bookmarkStart w:id="155" w:name="_Toc462564139"/>
      <w:bookmarkStart w:id="156" w:name="_Toc20823346"/>
      <w:bookmarkStart w:id="157" w:name="_Toc120614244"/>
      <w:bookmarkStart w:id="158" w:name="_Toc16938590"/>
      <w:bookmarkStart w:id="159" w:name="_Hlt16619350"/>
      <w:bookmarkStart w:id="160" w:name="_Hlt16619369"/>
      <w:r>
        <w:rPr>
          <w:rFonts w:hint="eastAsia" w:ascii="宋体" w:hAnsi="宋体" w:eastAsia="宋体" w:cs="宋体"/>
          <w:color w:val="000000"/>
          <w:sz w:val="24"/>
          <w:szCs w:val="24"/>
          <w:lang w:val="en-US" w:eastAsia="zh-CN"/>
        </w:rPr>
        <w:t>33.政府采购政策功能落实</w:t>
      </w:r>
    </w:p>
    <w:p w14:paraId="3EA2C724">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33.1</w:t>
      </w:r>
      <w:r>
        <w:rPr>
          <w:rFonts w:hint="eastAsia" w:ascii="宋体" w:hAnsi="宋体" w:eastAsia="宋体" w:cs="宋体"/>
          <w:color w:val="000000"/>
          <w:sz w:val="24"/>
          <w:szCs w:val="24"/>
          <w:lang w:eastAsia="zh-CN"/>
        </w:rPr>
        <w:t>政府采购线上合同信用融资政策</w:t>
      </w:r>
    </w:p>
    <w:p w14:paraId="78E58567">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lang w:val="en-US" w:eastAsia="zh-CN"/>
        </w:rPr>
        <w:t>江苏省</w:t>
      </w:r>
      <w:r>
        <w:rPr>
          <w:rFonts w:hint="eastAsia" w:ascii="宋体" w:hAnsi="宋体" w:eastAsia="宋体" w:cs="宋体"/>
          <w:color w:val="000000"/>
          <w:sz w:val="24"/>
          <w:szCs w:val="24"/>
          <w:lang w:eastAsia="zh-CN"/>
        </w:rPr>
        <w:t>政府采购网“政采贷”栏目）申请贷款，相关金融机构按照双方自愿的原则提供便捷、优惠的贷款服务；具体操作流程请参考苏采云系统中操作手册。</w:t>
      </w:r>
    </w:p>
    <w:p w14:paraId="034807A4">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33.2履约保证金政策</w:t>
      </w:r>
    </w:p>
    <w:p w14:paraId="40F02B3A">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确需收取履约保证金的，履约保证金的缴纳形式：</w:t>
      </w:r>
    </w:p>
    <w:p w14:paraId="5EB031AC">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如以履约保函（保险）形式缴纳履约保证金，供应商可通过政府采购电子履约保函（保险）平台（www.jsdzbh.com）在线申请履约保函（保险）。</w:t>
      </w:r>
    </w:p>
    <w:p w14:paraId="57E6C93D">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34. 预付款制度</w:t>
      </w:r>
    </w:p>
    <w:p w14:paraId="0A9B0D44">
      <w:pPr>
        <w:pStyle w:val="81"/>
        <w:keepNext w:val="0"/>
        <w:keepLines w:val="0"/>
        <w:pageBreakBefore w:val="0"/>
        <w:widowControl w:val="0"/>
        <w:numPr>
          <w:ilvl w:val="0"/>
          <w:numId w:val="0"/>
        </w:numPr>
        <w:tabs>
          <w:tab w:val="right" w:pos="9072"/>
        </w:tabs>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bCs/>
          <w:color w:val="000000"/>
          <w:sz w:val="44"/>
          <w:highlight w:val="none"/>
        </w:rPr>
      </w:pPr>
      <w:r>
        <w:rPr>
          <w:rFonts w:hint="eastAsia" w:ascii="宋体" w:hAnsi="宋体" w:eastAsia="宋体" w:cs="宋体"/>
          <w:color w:val="000000"/>
          <w:sz w:val="24"/>
          <w:szCs w:val="24"/>
          <w:lang w:val="en-US" w:eastAsia="zh-CN"/>
        </w:rPr>
        <w:t>本项目落实预付款制度，预付款比例为</w:t>
      </w:r>
      <w:r>
        <w:rPr>
          <w:rFonts w:hint="eastAsia" w:ascii="宋体" w:hAnsi="宋体" w:eastAsia="宋体" w:cs="宋体"/>
          <w:color w:val="000000"/>
          <w:sz w:val="24"/>
          <w:szCs w:val="24"/>
          <w:u w:val="single"/>
          <w:lang w:val="en-US" w:eastAsia="zh-CN"/>
        </w:rPr>
        <w:t>30</w:t>
      </w:r>
      <w:r>
        <w:rPr>
          <w:rFonts w:hint="eastAsia" w:ascii="宋体" w:hAnsi="宋体" w:eastAsia="宋体" w:cs="宋体"/>
          <w:color w:val="000000"/>
          <w:sz w:val="24"/>
          <w:szCs w:val="24"/>
          <w:lang w:val="en-US" w:eastAsia="zh-CN"/>
        </w:rPr>
        <w:t>%。在签订合同时，中标、成交供应商明确书面表示无需预付款或者主动要求降低预付款比例的，采购人可就预付款比例作相应调整。</w:t>
      </w:r>
    </w:p>
    <w:p w14:paraId="106A48EA">
      <w:pPr>
        <w:pStyle w:val="38"/>
        <w:jc w:val="both"/>
        <w:rPr>
          <w:rFonts w:hint="eastAsia" w:ascii="黑体" w:hAnsi="黑体" w:eastAsia="黑体" w:cs="黑体"/>
          <w:b/>
          <w:bCs w:val="0"/>
          <w:color w:val="000000"/>
          <w:sz w:val="44"/>
          <w:highlight w:val="none"/>
        </w:rPr>
      </w:pPr>
    </w:p>
    <w:p w14:paraId="60953935">
      <w:pPr>
        <w:rPr>
          <w:rFonts w:hint="eastAsia" w:ascii="黑体" w:hAnsi="黑体" w:eastAsia="黑体" w:cs="黑体"/>
          <w:b/>
          <w:bCs w:val="0"/>
          <w:color w:val="000000"/>
          <w:sz w:val="44"/>
          <w:highlight w:val="none"/>
        </w:rPr>
      </w:pPr>
    </w:p>
    <w:p w14:paraId="61E6F46F">
      <w:pPr>
        <w:rPr>
          <w:rFonts w:hint="eastAsia" w:ascii="黑体" w:hAnsi="黑体" w:eastAsia="黑体" w:cs="黑体"/>
          <w:b/>
          <w:bCs w:val="0"/>
          <w:color w:val="000000"/>
          <w:sz w:val="44"/>
          <w:highlight w:val="none"/>
        </w:rPr>
      </w:pPr>
    </w:p>
    <w:p w14:paraId="02F32944">
      <w:pPr>
        <w:rPr>
          <w:rFonts w:hint="eastAsia" w:ascii="黑体" w:hAnsi="黑体" w:eastAsia="黑体" w:cs="黑体"/>
          <w:b/>
          <w:bCs w:val="0"/>
          <w:color w:val="000000"/>
          <w:sz w:val="44"/>
          <w:highlight w:val="none"/>
        </w:rPr>
      </w:pPr>
    </w:p>
    <w:p w14:paraId="01D5AF63">
      <w:pPr>
        <w:rPr>
          <w:rFonts w:hint="eastAsia" w:ascii="黑体" w:hAnsi="黑体" w:eastAsia="黑体" w:cs="黑体"/>
          <w:b/>
          <w:bCs w:val="0"/>
          <w:color w:val="000000"/>
          <w:sz w:val="44"/>
          <w:highlight w:val="none"/>
        </w:rPr>
      </w:pPr>
    </w:p>
    <w:p w14:paraId="7267A699">
      <w:pPr>
        <w:rPr>
          <w:rFonts w:hint="eastAsia" w:ascii="黑体" w:hAnsi="黑体" w:eastAsia="黑体" w:cs="黑体"/>
          <w:b/>
          <w:bCs w:val="0"/>
          <w:color w:val="000000"/>
          <w:sz w:val="44"/>
          <w:highlight w:val="none"/>
        </w:rPr>
      </w:pPr>
    </w:p>
    <w:p w14:paraId="579F3798">
      <w:pPr>
        <w:rPr>
          <w:rFonts w:hint="eastAsia" w:ascii="黑体" w:hAnsi="黑体" w:eastAsia="黑体" w:cs="黑体"/>
          <w:b/>
          <w:bCs w:val="0"/>
          <w:color w:val="000000"/>
          <w:sz w:val="44"/>
          <w:highlight w:val="none"/>
        </w:rPr>
      </w:pPr>
    </w:p>
    <w:p w14:paraId="61650194">
      <w:pPr>
        <w:rPr>
          <w:rFonts w:hint="eastAsia" w:ascii="黑体" w:hAnsi="黑体" w:eastAsia="黑体" w:cs="黑体"/>
          <w:b/>
          <w:bCs w:val="0"/>
          <w:color w:val="000000"/>
          <w:sz w:val="44"/>
          <w:highlight w:val="none"/>
        </w:rPr>
      </w:pPr>
    </w:p>
    <w:p w14:paraId="09F7ABB2">
      <w:pPr>
        <w:rPr>
          <w:rFonts w:hint="eastAsia" w:ascii="黑体" w:hAnsi="黑体" w:eastAsia="黑体" w:cs="黑体"/>
          <w:b/>
          <w:bCs w:val="0"/>
          <w:color w:val="000000"/>
          <w:sz w:val="44"/>
          <w:highlight w:val="none"/>
        </w:rPr>
      </w:pPr>
    </w:p>
    <w:p w14:paraId="3E99B2F2">
      <w:pPr>
        <w:pStyle w:val="38"/>
        <w:jc w:val="center"/>
        <w:rPr>
          <w:rFonts w:hint="eastAsia" w:ascii="黑体" w:hAnsi="黑体" w:eastAsia="黑体" w:cs="黑体"/>
          <w:b/>
          <w:bCs w:val="0"/>
          <w:color w:val="000000"/>
          <w:sz w:val="44"/>
          <w:highlight w:val="none"/>
        </w:rPr>
      </w:pPr>
      <w:r>
        <w:rPr>
          <w:rFonts w:hint="eastAsia" w:ascii="黑体" w:hAnsi="黑体" w:eastAsia="黑体" w:cs="黑体"/>
          <w:b/>
          <w:bCs w:val="0"/>
          <w:color w:val="000000"/>
          <w:sz w:val="44"/>
          <w:highlight w:val="none"/>
        </w:rPr>
        <w:t>第三章  合同条款及格式</w:t>
      </w:r>
    </w:p>
    <w:p w14:paraId="12A2BE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甲方：中共</w:t>
      </w:r>
      <w:r>
        <w:rPr>
          <w:rFonts w:hint="eastAsia" w:ascii="宋体" w:hAnsi="宋体" w:eastAsia="宋体" w:cs="宋体"/>
          <w:kern w:val="2"/>
          <w:sz w:val="24"/>
          <w:szCs w:val="24"/>
          <w:lang w:val="en-US" w:eastAsia="zh-CN"/>
        </w:rPr>
        <w:t>盐城市</w:t>
      </w:r>
      <w:r>
        <w:rPr>
          <w:rFonts w:hint="eastAsia" w:ascii="宋体" w:hAnsi="宋体" w:eastAsia="宋体" w:cs="宋体"/>
          <w:kern w:val="2"/>
          <w:sz w:val="24"/>
          <w:szCs w:val="24"/>
        </w:rPr>
        <w:t>大丰区委宣传部        </w:t>
      </w:r>
    </w:p>
    <w:p w14:paraId="6AC93A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乙方：</w:t>
      </w:r>
      <w:r>
        <w:rPr>
          <w:rFonts w:hint="eastAsia" w:ascii="宋体" w:hAnsi="宋体" w:eastAsia="宋体" w:cs="宋体"/>
          <w:kern w:val="2"/>
          <w:sz w:val="24"/>
          <w:szCs w:val="24"/>
          <w:lang w:val="en-US" w:eastAsia="zh-CN"/>
        </w:rPr>
        <w:t xml:space="preserve">             </w:t>
      </w:r>
    </w:p>
    <w:p w14:paraId="6962EC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为了全方位、多角度宣传大丰区在经济社会发展中取得的各项成绩，乙方充分发挥自身优势，与甲方进一步加强合作，实现资源共享、优势互补，谋求共赢发展，携手建立全面长期的战略伙伴关系，使双方合作走向深入、取得实效。双方合作协议如下：</w:t>
      </w:r>
    </w:p>
    <w:p w14:paraId="135D6B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一、重大主题新闻服务</w:t>
      </w:r>
    </w:p>
    <w:p w14:paraId="6CBD5F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盐阜大众报报业集团以盐阜大众报为主阵地，为甲方新闻宣传提供平台和阵地，提供全方位的舆论支持，提供及时便捷的贴心服务。</w:t>
      </w:r>
    </w:p>
    <w:p w14:paraId="77E758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1.发挥党报 “定盘星”作用，在中央、省、市、区举办重大活动以及重要节点期间，乙方及时协调推出头版头条或头版重点稿件，全年不少于12条。（稿件主题由甲方和乙方商量后确定</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w:t>
      </w:r>
    </w:p>
    <w:p w14:paraId="63BDDA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2.乙方发挥党报记者专业撰稿和宏观视野优势，加强基层调查研究，帮助大丰区挖掘提炼重大典型、重大经验，总结梳理重大成果，撰写一批深度原创稿件，积极在中央、省级权威媒体发稿，为大丰区各项特色亮点工作提供新闻舆论支撑。</w:t>
      </w:r>
    </w:p>
    <w:p w14:paraId="2FABE7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3.乙方发挥全媒体矩阵优势，在加强报纸头版、头条稿件支撑的同时，充分利用登瀛观察公众号、视频号、学习强国等融媒体资源，加强全媒体宣传传播力，并积极向上级媒体推送。</w:t>
      </w:r>
    </w:p>
    <w:p w14:paraId="4F25B7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4.乙方</w:t>
      </w:r>
      <w:r>
        <w:rPr>
          <w:rFonts w:hint="eastAsia" w:ascii="宋体" w:hAnsi="宋体" w:eastAsia="宋体" w:cs="宋体"/>
          <w:kern w:val="2"/>
          <w:sz w:val="24"/>
          <w:szCs w:val="24"/>
          <w:lang w:val="en-US" w:eastAsia="zh-CN"/>
        </w:rPr>
        <w:t>年内组织记者不少于3次</w:t>
      </w:r>
      <w:r>
        <w:rPr>
          <w:rFonts w:hint="eastAsia" w:ascii="宋体" w:hAnsi="宋体" w:eastAsia="宋体" w:cs="宋体"/>
          <w:kern w:val="2"/>
          <w:sz w:val="24"/>
          <w:szCs w:val="24"/>
        </w:rPr>
        <w:t>深入大丰区</w:t>
      </w:r>
      <w:r>
        <w:rPr>
          <w:rFonts w:hint="eastAsia" w:ascii="宋体" w:hAnsi="宋体" w:eastAsia="宋体" w:cs="宋体"/>
          <w:kern w:val="2"/>
          <w:sz w:val="24"/>
          <w:szCs w:val="24"/>
          <w:lang w:val="en-US" w:eastAsia="zh-CN"/>
        </w:rPr>
        <w:t>境内</w:t>
      </w:r>
      <w:r>
        <w:rPr>
          <w:rFonts w:hint="eastAsia" w:ascii="宋体" w:hAnsi="宋体" w:eastAsia="宋体" w:cs="宋体"/>
          <w:kern w:val="2"/>
          <w:sz w:val="24"/>
          <w:szCs w:val="24"/>
        </w:rPr>
        <w:t>，围绕大丰</w:t>
      </w:r>
      <w:r>
        <w:rPr>
          <w:rFonts w:hint="eastAsia" w:ascii="宋体" w:hAnsi="宋体" w:eastAsia="宋体" w:cs="宋体"/>
          <w:kern w:val="2"/>
          <w:sz w:val="24"/>
          <w:szCs w:val="24"/>
          <w:lang w:val="en-US" w:eastAsia="zh-CN"/>
        </w:rPr>
        <w:t>绿色低碳示范区建设、新质生产力、推进新型工业化、</w:t>
      </w:r>
      <w:r>
        <w:rPr>
          <w:rFonts w:hint="eastAsia" w:ascii="宋体" w:hAnsi="宋体" w:eastAsia="宋体" w:cs="宋体"/>
          <w:kern w:val="2"/>
          <w:sz w:val="24"/>
          <w:szCs w:val="24"/>
        </w:rPr>
        <w:t>乡村振兴</w:t>
      </w:r>
      <w:r>
        <w:rPr>
          <w:rFonts w:hint="eastAsia" w:ascii="宋体" w:hAnsi="宋体" w:eastAsia="宋体" w:cs="宋体"/>
          <w:kern w:val="2"/>
          <w:sz w:val="24"/>
          <w:szCs w:val="24"/>
          <w:lang w:val="en-US" w:eastAsia="zh-CN"/>
        </w:rPr>
        <w:t>等方面取得</w:t>
      </w:r>
      <w:r>
        <w:rPr>
          <w:rFonts w:hint="eastAsia" w:ascii="宋体" w:hAnsi="宋体" w:eastAsia="宋体" w:cs="宋体"/>
          <w:kern w:val="2"/>
          <w:sz w:val="24"/>
          <w:szCs w:val="24"/>
        </w:rPr>
        <w:t>的成果，采写出有深度、接地气的稿件。</w:t>
      </w:r>
    </w:p>
    <w:p w14:paraId="7F825D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5.乙方积极配合甲方自身宣传需求，协调记者前往大丰采访和编发稿件。根据甲方的外宣需求，乙方积极配合</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为甲方提供宣传稿件素材。</w:t>
      </w:r>
    </w:p>
    <w:p w14:paraId="1073C0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二、重点工作宣传策划服务</w:t>
      </w:r>
    </w:p>
    <w:p w14:paraId="66C1DA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6.在全国、省、市“两会”，“5·18”经贸活动，高质量发展项目观摩等重大活动期间，乙方如果策划撰写全市层面的综合稿件，优先采访大丰相关内容，并在综合稿件中体现。</w:t>
      </w:r>
    </w:p>
    <w:p w14:paraId="4D808F3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7.在市“两会”、“5·18”经贸活动、高质量发展项目观</w:t>
      </w:r>
      <w:r>
        <w:rPr>
          <w:rFonts w:hint="eastAsia" w:ascii="宋体" w:hAnsi="宋体" w:eastAsia="宋体" w:cs="宋体"/>
          <w:kern w:val="2"/>
          <w:sz w:val="24"/>
          <w:szCs w:val="24"/>
          <w:lang w:val="en-US" w:eastAsia="zh-CN"/>
        </w:rPr>
        <w:t>摩</w:t>
      </w:r>
      <w:r>
        <w:rPr>
          <w:rFonts w:hint="eastAsia" w:ascii="宋体" w:hAnsi="宋体" w:eastAsia="宋体" w:cs="宋体"/>
          <w:kern w:val="2"/>
          <w:sz w:val="24"/>
          <w:szCs w:val="24"/>
        </w:rPr>
        <w:t>等关键时间节点，全年为大丰组织刊发4个专版。专版策划主题由甲方根据自身需求提出主题，乙方积极配合完成。</w:t>
      </w:r>
    </w:p>
    <w:p w14:paraId="33FFF82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三、理论阵地建设服务</w:t>
      </w:r>
    </w:p>
    <w:p w14:paraId="36E95D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8. 乙方支持甲方建设好江苏省习近平新时代中国特色社会主义思想研究中心大丰实践调研基地，利用市级理论阵地——《理论周刊》这一重要平台，总结并刊发大丰实践调研基地的理论成果，扩大基地在全省乃至全国的影响力。</w:t>
      </w:r>
    </w:p>
    <w:p w14:paraId="6AC899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四、新媒体平台推介服务</w:t>
      </w:r>
    </w:p>
    <w:p w14:paraId="7FAFCB1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9.乙方为甲方提供盐城新闻网转载和盐阜大众报</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我言”</w:t>
      </w:r>
      <w:r>
        <w:rPr>
          <w:rFonts w:hint="eastAsia" w:ascii="宋体" w:hAnsi="宋体" w:eastAsia="宋体" w:cs="宋体"/>
          <w:kern w:val="2"/>
          <w:sz w:val="24"/>
          <w:szCs w:val="24"/>
        </w:rPr>
        <w:t>新闻客户端（APP）转载。</w:t>
      </w:r>
    </w:p>
    <w:p w14:paraId="1F20C9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10.乙方利用新媒体内容制作和拥有官方发布平台的优势，为甲方提供如下服务：</w:t>
      </w:r>
    </w:p>
    <w:p w14:paraId="169677F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（1）甲方如有重大活动需要，乙方可提供H5制作、视频直播、微视频等新媒体产品，并在登瀛观察视频号、我言客户端等新媒体平台推送</w:t>
      </w:r>
      <w:r>
        <w:rPr>
          <w:rFonts w:hint="eastAsia" w:ascii="宋体" w:hAnsi="宋体" w:eastAsia="宋体" w:cs="宋体"/>
          <w:kern w:val="2"/>
          <w:sz w:val="24"/>
          <w:szCs w:val="24"/>
          <w:lang w:eastAsia="zh-CN"/>
        </w:rPr>
        <w:t>。</w:t>
      </w:r>
    </w:p>
    <w:p w14:paraId="15C227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（2）在日活用户100多万人次的盐阜大众报新闻客户端开设“大丰”频道，</w:t>
      </w:r>
      <w:r>
        <w:rPr>
          <w:rFonts w:hint="eastAsia" w:ascii="宋体" w:hAnsi="宋体" w:eastAsia="宋体" w:cs="宋体"/>
          <w:kern w:val="2"/>
          <w:sz w:val="24"/>
          <w:szCs w:val="24"/>
          <w:lang w:val="en-US" w:eastAsia="zh-CN"/>
        </w:rPr>
        <w:t>工作日</w:t>
      </w:r>
      <w:r>
        <w:rPr>
          <w:rFonts w:hint="eastAsia" w:ascii="宋体" w:hAnsi="宋体" w:eastAsia="宋体" w:cs="宋体"/>
          <w:kern w:val="2"/>
          <w:sz w:val="24"/>
          <w:szCs w:val="24"/>
        </w:rPr>
        <w:t>每天推送重要稿件3篇以上</w:t>
      </w:r>
      <w:r>
        <w:rPr>
          <w:rFonts w:hint="eastAsia" w:ascii="宋体" w:hAnsi="宋体" w:eastAsia="宋体" w:cs="宋体"/>
          <w:kern w:val="2"/>
          <w:sz w:val="24"/>
          <w:szCs w:val="24"/>
          <w:lang w:eastAsia="zh-CN"/>
        </w:rPr>
        <w:t>。</w:t>
      </w:r>
    </w:p>
    <w:p w14:paraId="66F59E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（3）全年在登瀛观察公众号推送稿件</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0篇以上。</w:t>
      </w:r>
    </w:p>
    <w:p w14:paraId="61EDC2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（4）在甲方有需要的情况下，乙方可为甲方提供稿件深加工服务，并择优将稿件向学习强国省级以上平台推送。</w:t>
      </w:r>
    </w:p>
    <w:p w14:paraId="5DBE3E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11.要闻或县域新闻版全年为大丰区各乡镇、园区刊发稿件不少于20篇/家，全年刊发总数300篇以上。</w:t>
      </w:r>
    </w:p>
    <w:p w14:paraId="13CEE7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ascii="宋体" w:hAnsi="宋体" w:eastAsia="宋体" w:cs="宋体"/>
          <w:kern w:val="2"/>
          <w:sz w:val="24"/>
          <w:szCs w:val="24"/>
          <w:lang w:val="en-US" w:eastAsia="zh-CN"/>
        </w:rPr>
        <w:t>12.合作完成后，及时汇总相关宣传情况，并向甲方提供年度宣传总结。</w:t>
      </w:r>
    </w:p>
    <w:p w14:paraId="09F264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以上均在协议期内发布完毕。</w:t>
      </w:r>
    </w:p>
    <w:p w14:paraId="1C4270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五、学习交流培训服务</w:t>
      </w:r>
    </w:p>
    <w:p w14:paraId="070636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.上下联动，乙方举办新闻业务培训，邀请甲方相关人员参加。</w:t>
      </w:r>
    </w:p>
    <w:p w14:paraId="78BD984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rPr>
        <w:t>.乙方为大丰区宣传思想文化干部及区融媒中心年轻记者编辑提供媒体跟班学习机会。</w:t>
      </w:r>
    </w:p>
    <w:p w14:paraId="570C55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六、舆论热点引导服务</w:t>
      </w:r>
    </w:p>
    <w:p w14:paraId="73F62E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.针对大丰有可能发生的社会热点，盐阜大众报报业集团将及时予以提醒沟通；对已发生的，发挥正面宣传为主的舆论导向作用，以积极的正能量来引导舆论。</w:t>
      </w:r>
    </w:p>
    <w:p w14:paraId="652F4D4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七、合作费用</w:t>
      </w:r>
    </w:p>
    <w:p w14:paraId="158BB3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本协议有效期自</w:t>
      </w:r>
      <w:r>
        <w:rPr>
          <w:rFonts w:hint="eastAsia" w:ascii="宋体" w:hAnsi="宋体" w:eastAsia="宋体" w:cs="宋体"/>
          <w:kern w:val="2"/>
          <w:sz w:val="24"/>
          <w:szCs w:val="24"/>
          <w:highlight w:val="none"/>
          <w:u w:val="single"/>
        </w:rPr>
        <w:t>202</w:t>
      </w:r>
      <w:r>
        <w:rPr>
          <w:rFonts w:hint="eastAsia" w:ascii="宋体" w:hAnsi="宋体" w:eastAsia="宋体" w:cs="宋体"/>
          <w:kern w:val="2"/>
          <w:sz w:val="24"/>
          <w:szCs w:val="24"/>
          <w:highlight w:val="none"/>
          <w:u w:val="single"/>
          <w:lang w:val="en-US" w:eastAsia="zh-CN"/>
        </w:rPr>
        <w:t>6</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月</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日起至202</w:t>
      </w:r>
      <w:r>
        <w:rPr>
          <w:rFonts w:hint="eastAsia" w:ascii="宋体" w:hAnsi="宋体" w:eastAsia="宋体" w:cs="宋体"/>
          <w:kern w:val="2"/>
          <w:sz w:val="24"/>
          <w:szCs w:val="24"/>
          <w:highlight w:val="none"/>
          <w:lang w:val="en-US" w:eastAsia="zh-CN"/>
        </w:rPr>
        <w:t>7</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月</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日</w:t>
      </w:r>
      <w:r>
        <w:rPr>
          <w:rFonts w:hint="eastAsia" w:ascii="宋体" w:hAnsi="宋体" w:eastAsia="宋体" w:cs="宋体"/>
          <w:kern w:val="2"/>
          <w:sz w:val="24"/>
          <w:szCs w:val="24"/>
        </w:rPr>
        <w:t>止。甲方提供给乙方策划、专版及其他宣传服务费用总计</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人民币。</w:t>
      </w:r>
    </w:p>
    <w:p w14:paraId="456C76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八</w:t>
      </w:r>
      <w:r>
        <w:rPr>
          <w:rFonts w:hint="eastAsia" w:ascii="宋体" w:hAnsi="宋体" w:eastAsia="宋体" w:cs="宋体"/>
          <w:kern w:val="2"/>
          <w:sz w:val="24"/>
          <w:szCs w:val="24"/>
        </w:rPr>
        <w:t>、付款方式</w:t>
      </w:r>
    </w:p>
    <w:p w14:paraId="0494611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（1）合同签订后</w:t>
      </w:r>
      <w:r>
        <w:rPr>
          <w:rFonts w:hint="eastAsia" w:ascii="宋体" w:hAnsi="宋体" w:eastAsia="宋体" w:cs="宋体"/>
          <w:kern w:val="2"/>
          <w:sz w:val="24"/>
          <w:szCs w:val="24"/>
          <w:lang w:val="en-US" w:eastAsia="zh-CN"/>
        </w:rPr>
        <w:t>60</w:t>
      </w:r>
      <w:r>
        <w:rPr>
          <w:rFonts w:hint="eastAsia" w:ascii="宋体" w:hAnsi="宋体" w:eastAsia="宋体" w:cs="宋体"/>
          <w:kern w:val="2"/>
          <w:sz w:val="24"/>
          <w:szCs w:val="24"/>
        </w:rPr>
        <w:t>日内预付合同总额的30%；</w:t>
      </w:r>
    </w:p>
    <w:p w14:paraId="654FF1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（2）合同签订后</w:t>
      </w:r>
      <w:r>
        <w:rPr>
          <w:rFonts w:hint="eastAsia" w:ascii="宋体" w:hAnsi="宋体" w:eastAsia="宋体" w:cs="宋体"/>
          <w:kern w:val="2"/>
          <w:sz w:val="24"/>
          <w:szCs w:val="24"/>
          <w:lang w:val="en-US" w:eastAsia="zh-CN"/>
        </w:rPr>
        <w:t>120</w:t>
      </w:r>
      <w:r>
        <w:rPr>
          <w:rFonts w:hint="eastAsia" w:ascii="宋体" w:hAnsi="宋体" w:eastAsia="宋体" w:cs="宋体"/>
          <w:kern w:val="2"/>
          <w:sz w:val="24"/>
          <w:szCs w:val="24"/>
        </w:rPr>
        <w:t>日内</w:t>
      </w:r>
      <w:r>
        <w:rPr>
          <w:rFonts w:hint="eastAsia" w:ascii="宋体" w:hAnsi="宋体" w:eastAsia="宋体" w:cs="宋体"/>
          <w:kern w:val="2"/>
          <w:sz w:val="24"/>
          <w:szCs w:val="24"/>
          <w:lang w:val="en-US" w:eastAsia="zh-CN"/>
        </w:rPr>
        <w:t>支付</w:t>
      </w:r>
      <w:r>
        <w:rPr>
          <w:rFonts w:hint="eastAsia" w:ascii="宋体" w:hAnsi="宋体" w:eastAsia="宋体" w:cs="宋体"/>
          <w:kern w:val="2"/>
          <w:sz w:val="24"/>
          <w:szCs w:val="24"/>
        </w:rPr>
        <w:t>合同总额的</w:t>
      </w:r>
      <w:r>
        <w:rPr>
          <w:rFonts w:hint="eastAsia" w:ascii="宋体" w:hAnsi="宋体" w:eastAsia="宋体" w:cs="宋体"/>
          <w:kern w:val="2"/>
          <w:sz w:val="24"/>
          <w:szCs w:val="24"/>
          <w:lang w:val="en-US" w:eastAsia="zh-CN"/>
        </w:rPr>
        <w:t>60</w:t>
      </w:r>
      <w:r>
        <w:rPr>
          <w:rFonts w:hint="eastAsia" w:ascii="宋体" w:hAnsi="宋体" w:eastAsia="宋体" w:cs="宋体"/>
          <w:kern w:val="2"/>
          <w:sz w:val="24"/>
          <w:szCs w:val="24"/>
        </w:rPr>
        <w:t>%；</w:t>
      </w:r>
    </w:p>
    <w:p w14:paraId="104CAA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合同签订后</w:t>
      </w:r>
      <w:r>
        <w:rPr>
          <w:rFonts w:hint="eastAsia" w:ascii="宋体" w:hAnsi="宋体" w:eastAsia="宋体" w:cs="宋体"/>
          <w:kern w:val="2"/>
          <w:sz w:val="24"/>
          <w:szCs w:val="24"/>
          <w:lang w:val="en-US" w:eastAsia="zh-CN"/>
        </w:rPr>
        <w:t>180</w:t>
      </w:r>
      <w:r>
        <w:rPr>
          <w:rFonts w:hint="eastAsia" w:ascii="宋体" w:hAnsi="宋体" w:eastAsia="宋体" w:cs="宋体"/>
          <w:kern w:val="2"/>
          <w:sz w:val="24"/>
          <w:szCs w:val="24"/>
        </w:rPr>
        <w:t>日内</w:t>
      </w:r>
      <w:r>
        <w:rPr>
          <w:rFonts w:hint="eastAsia" w:ascii="宋体" w:hAnsi="宋体" w:eastAsia="宋体" w:cs="宋体"/>
          <w:kern w:val="2"/>
          <w:sz w:val="24"/>
          <w:szCs w:val="24"/>
          <w:lang w:val="en-US" w:eastAsia="zh-CN"/>
        </w:rPr>
        <w:t>支付</w:t>
      </w:r>
      <w:r>
        <w:rPr>
          <w:rFonts w:hint="eastAsia" w:ascii="宋体" w:hAnsi="宋体" w:eastAsia="宋体" w:cs="宋体"/>
          <w:kern w:val="2"/>
          <w:sz w:val="24"/>
          <w:szCs w:val="24"/>
        </w:rPr>
        <w:t>合同总额的</w:t>
      </w:r>
      <w:r>
        <w:rPr>
          <w:rFonts w:hint="eastAsia" w:ascii="宋体" w:hAnsi="宋体" w:eastAsia="宋体" w:cs="宋体"/>
          <w:kern w:val="2"/>
          <w:sz w:val="24"/>
          <w:szCs w:val="24"/>
          <w:lang w:val="en-US" w:eastAsia="zh-CN"/>
        </w:rPr>
        <w:t>90</w:t>
      </w:r>
      <w:r>
        <w:rPr>
          <w:rFonts w:hint="eastAsia" w:ascii="宋体" w:hAnsi="宋体" w:eastAsia="宋体" w:cs="宋体"/>
          <w:kern w:val="2"/>
          <w:sz w:val="24"/>
          <w:szCs w:val="24"/>
        </w:rPr>
        <w:t>%；</w:t>
      </w:r>
    </w:p>
    <w:p w14:paraId="6FE05A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项目完成</w:t>
      </w:r>
      <w:r>
        <w:rPr>
          <w:rFonts w:hint="eastAsia" w:ascii="宋体" w:hAnsi="宋体" w:eastAsia="宋体" w:cs="宋体"/>
          <w:kern w:val="2"/>
          <w:sz w:val="24"/>
          <w:szCs w:val="24"/>
          <w:lang w:val="en-US" w:eastAsia="zh-CN"/>
        </w:rPr>
        <w:t>或2026</w:t>
      </w:r>
      <w:r>
        <w:rPr>
          <w:rFonts w:hint="eastAsia" w:ascii="宋体" w:hAnsi="宋体" w:eastAsia="宋体" w:cs="宋体"/>
          <w:kern w:val="2"/>
          <w:sz w:val="24"/>
          <w:szCs w:val="24"/>
        </w:rPr>
        <w:t>年底前后15日内</w:t>
      </w:r>
      <w:r>
        <w:rPr>
          <w:rFonts w:hint="eastAsia" w:ascii="宋体" w:hAnsi="宋体" w:eastAsia="宋体" w:cs="宋体"/>
          <w:kern w:val="2"/>
          <w:sz w:val="24"/>
          <w:szCs w:val="24"/>
          <w:lang w:val="en-US" w:eastAsia="zh-CN"/>
        </w:rPr>
        <w:t>支付剩余</w:t>
      </w:r>
      <w:r>
        <w:rPr>
          <w:rFonts w:hint="eastAsia" w:ascii="宋体" w:hAnsi="宋体" w:eastAsia="宋体" w:cs="宋体"/>
          <w:kern w:val="2"/>
          <w:sz w:val="24"/>
          <w:szCs w:val="24"/>
        </w:rPr>
        <w:t>合同</w:t>
      </w:r>
      <w:r>
        <w:rPr>
          <w:rFonts w:hint="eastAsia" w:ascii="宋体" w:hAnsi="宋体" w:eastAsia="宋体" w:cs="宋体"/>
          <w:kern w:val="2"/>
          <w:sz w:val="24"/>
          <w:szCs w:val="24"/>
          <w:lang w:val="en-US" w:eastAsia="zh-CN"/>
        </w:rPr>
        <w:t>金额</w:t>
      </w:r>
      <w:r>
        <w:rPr>
          <w:rFonts w:hint="eastAsia" w:ascii="宋体" w:hAnsi="宋体" w:eastAsia="宋体" w:cs="宋体"/>
          <w:kern w:val="2"/>
          <w:sz w:val="24"/>
          <w:szCs w:val="24"/>
        </w:rPr>
        <w:t>。</w:t>
      </w:r>
    </w:p>
    <w:p w14:paraId="790068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注：按以上进度付款无任何利息补偿，甲方每次按合同约定付款前，乙方均应向甲方出具正规发票，否则甲方有权延迟付款，并不产生违约责任。</w:t>
      </w:r>
    </w:p>
    <w:p w14:paraId="499DE3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九</w:t>
      </w:r>
      <w:r>
        <w:rPr>
          <w:rFonts w:hint="eastAsia" w:ascii="宋体" w:hAnsi="宋体" w:eastAsia="宋体" w:cs="宋体"/>
          <w:kern w:val="2"/>
          <w:sz w:val="24"/>
          <w:szCs w:val="24"/>
        </w:rPr>
        <w:t>、其他事项</w:t>
      </w:r>
    </w:p>
    <w:p w14:paraId="186ECE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本合作协议一式四份，双方各执两份。在实施过程中，如有异议，可根据具体情况，双方友好协商解决。</w:t>
      </w:r>
    </w:p>
    <w:p w14:paraId="3C1B47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甲方代表（签字）：                 乙方代表（签字）:</w:t>
      </w:r>
    </w:p>
    <w:p w14:paraId="0621CC7F">
      <w:pPr>
        <w:keepNext w:val="0"/>
        <w:keepLines w:val="0"/>
        <w:pageBreakBefore w:val="0"/>
        <w:widowControl w:val="0"/>
        <w:kinsoku/>
        <w:wordWrap/>
        <w:overflowPunct/>
        <w:topLinePunct w:val="0"/>
        <w:autoSpaceDE/>
        <w:autoSpaceDN/>
        <w:bidi w:val="0"/>
        <w:adjustRightInd/>
        <w:snapToGrid/>
        <w:spacing w:before="1" w:after="0" w:line="440" w:lineRule="exact"/>
        <w:ind w:firstLine="501" w:firstLineChars="209"/>
        <w:jc w:val="both"/>
        <w:textAlignment w:val="auto"/>
        <w:rPr>
          <w:rFonts w:hint="eastAsia" w:ascii="宋体" w:hAnsi="宋体" w:eastAsia="宋体" w:cs="宋体"/>
          <w:sz w:val="24"/>
          <w:szCs w:val="24"/>
        </w:rPr>
      </w:pPr>
      <w:r>
        <w:rPr>
          <w:rFonts w:hint="eastAsia" w:ascii="宋体" w:hAnsi="宋体" w:eastAsia="宋体" w:cs="宋体"/>
          <w:kern w:val="2"/>
          <w:sz w:val="24"/>
          <w:szCs w:val="24"/>
        </w:rPr>
        <w:t>202</w:t>
      </w: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  日                  202</w:t>
      </w: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   日</w:t>
      </w:r>
    </w:p>
    <w:p w14:paraId="573F2D1E">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r>
    </w:p>
    <w:bookmarkEnd w:id="154"/>
    <w:bookmarkEnd w:id="155"/>
    <w:bookmarkEnd w:id="156"/>
    <w:bookmarkEnd w:id="157"/>
    <w:bookmarkEnd w:id="158"/>
    <w:p w14:paraId="6640EDF5">
      <w:pPr>
        <w:pStyle w:val="29"/>
        <w:spacing w:before="120" w:beforeAutospacing="0" w:after="120" w:afterAutospacing="0" w:line="0" w:lineRule="atLeast"/>
        <w:jc w:val="center"/>
        <w:rPr>
          <w:b/>
          <w:bCs/>
          <w:color w:val="auto"/>
          <w:highlight w:val="none"/>
          <w:shd w:val="clear" w:color="auto" w:fill="auto"/>
        </w:rPr>
      </w:pPr>
      <w:bookmarkStart w:id="161" w:name="_Toc120614281"/>
      <w:r>
        <w:rPr>
          <w:rFonts w:hint="eastAsia" w:ascii="黑体" w:hAnsi="宋体" w:eastAsia="黑体" w:cs="黑体"/>
          <w:b/>
          <w:bCs/>
          <w:color w:val="auto"/>
          <w:sz w:val="44"/>
          <w:szCs w:val="44"/>
          <w:highlight w:val="none"/>
          <w:shd w:val="clear" w:color="auto" w:fill="auto"/>
        </w:rPr>
        <w:t>第四章 采购需求</w:t>
      </w:r>
      <w:bookmarkStart w:id="162" w:name="_Toc49090575"/>
      <w:bookmarkEnd w:id="162"/>
      <w:bookmarkStart w:id="163" w:name="_Toc26554093"/>
      <w:bookmarkEnd w:id="163"/>
    </w:p>
    <w:p w14:paraId="21D57ADE">
      <w:pPr>
        <w:pStyle w:val="29"/>
        <w:keepNext w:val="0"/>
        <w:keepLines w:val="0"/>
        <w:pageBreakBefore w:val="0"/>
        <w:spacing w:beforeAutospacing="0" w:afterAutospacing="0"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color w:val="auto"/>
          <w:highlight w:val="none"/>
          <w:lang w:val="en-US" w:eastAsia="zh-CN"/>
        </w:rPr>
        <w:t>项目属性</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服务类项目。</w:t>
      </w:r>
    </w:p>
    <w:p w14:paraId="0E29A027">
      <w:pPr>
        <w:keepNext w:val="0"/>
        <w:keepLines w:val="0"/>
        <w:pageBreakBefore w:val="0"/>
        <w:widowControl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一、项目概述</w:t>
      </w:r>
    </w:p>
    <w:p w14:paraId="4B791E62">
      <w:pPr>
        <w:keepNext w:val="0"/>
        <w:keepLines w:val="0"/>
        <w:pageBreakBefore w:val="0"/>
        <w:widowControl w:val="0"/>
        <w:spacing w:line="360" w:lineRule="auto"/>
        <w:ind w:firstLine="480"/>
        <w:jc w:val="left"/>
        <w:rPr>
          <w:rFonts w:hint="eastAsia" w:ascii="宋体" w:hAnsi="宋体" w:eastAsia="宋体" w:cs="宋体"/>
          <w:sz w:val="24"/>
          <w:szCs w:val="24"/>
          <w:highlight w:val="none"/>
          <w:lang w:eastAsia="zh-CN"/>
        </w:rPr>
      </w:pPr>
      <w:bookmarkStart w:id="164" w:name="_Toc97295831"/>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项目名称</w:t>
      </w:r>
      <w:bookmarkEnd w:id="164"/>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盐阜大众报</w:t>
      </w:r>
      <w:r>
        <w:rPr>
          <w:rFonts w:hint="eastAsia" w:ascii="宋体" w:hAnsi="宋体" w:cs="宋体"/>
          <w:sz w:val="24"/>
          <w:szCs w:val="24"/>
          <w:highlight w:val="none"/>
          <w:lang w:val="en-US" w:eastAsia="zh-CN"/>
        </w:rPr>
        <w:t>年度合作项目</w:t>
      </w:r>
      <w:r>
        <w:rPr>
          <w:rFonts w:hint="eastAsia" w:ascii="宋体" w:hAnsi="宋体" w:eastAsia="宋体" w:cs="宋体"/>
          <w:sz w:val="24"/>
          <w:szCs w:val="24"/>
          <w:highlight w:val="none"/>
          <w:lang w:eastAsia="zh-CN"/>
        </w:rPr>
        <w:t>。</w:t>
      </w:r>
    </w:p>
    <w:p w14:paraId="37B43BA8">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bookmarkStart w:id="165" w:name="_Toc97295832"/>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项目背景：本项目旨在通过权威、专业、高效的新闻宣传，全面展现大丰区在经济社会发展、科技创新、营商环境优化、民生福祉提升等方面取得的显著成效与良好形象，进一步提升区域的公共影响力与社会美誉度。项目内容涵盖新闻策划、采写、编辑、发布及品牌传播等全流程宣传服务。</w:t>
      </w:r>
    </w:p>
    <w:p w14:paraId="29EECB63">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建设目标：依托市级党报权威平台与主流渠道，向社会公众发布大丰区的政务信息、发展成果及政策解读。</w:t>
      </w:r>
    </w:p>
    <w:p w14:paraId="1EA31EDD">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项目目的：在市级党报提供头版头条、重点策划、深度报道等多维宣传，充分运用盐城发布、登瀛观察、学习强国等新媒体，讲好大丰精彩故事，展示大丰对外形象。</w:t>
      </w:r>
    </w:p>
    <w:p w14:paraId="10EDE2CB">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bookmarkEnd w:id="165"/>
      <w:bookmarkStart w:id="166" w:name="_Toc97295833"/>
      <w:r>
        <w:rPr>
          <w:rFonts w:hint="eastAsia" w:ascii="宋体" w:hAnsi="宋体" w:cs="宋体"/>
          <w:sz w:val="24"/>
          <w:szCs w:val="24"/>
          <w:highlight w:val="none"/>
          <w:lang w:val="en-US" w:eastAsia="zh-CN"/>
        </w:rPr>
        <w:t>预算金额及最高限价</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100万元</w:t>
      </w:r>
      <w:r>
        <w:rPr>
          <w:rFonts w:hint="eastAsia" w:ascii="宋体" w:hAnsi="宋体" w:eastAsia="宋体" w:cs="宋体"/>
          <w:sz w:val="24"/>
          <w:szCs w:val="24"/>
          <w:highlight w:val="none"/>
          <w:lang w:val="en-US" w:eastAsia="zh-CN"/>
        </w:rPr>
        <w:t>（人民币）。</w:t>
      </w:r>
      <w:bookmarkEnd w:id="166"/>
    </w:p>
    <w:p w14:paraId="152A14D9">
      <w:pPr>
        <w:keepNext w:val="0"/>
        <w:keepLines w:val="0"/>
        <w:pageBreakBefore w:val="0"/>
        <w:widowControl w:val="0"/>
        <w:spacing w:line="360" w:lineRule="auto"/>
        <w:ind w:firstLine="48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采购标的</w:t>
      </w:r>
      <w:r>
        <w:rPr>
          <w:rFonts w:hint="eastAsia" w:ascii="宋体" w:hAnsi="宋体" w:cs="宋体"/>
          <w:sz w:val="24"/>
          <w:szCs w:val="24"/>
          <w:highlight w:val="none"/>
          <w:lang w:val="en-US" w:eastAsia="zh-CN"/>
        </w:rPr>
        <w:t>均</w:t>
      </w:r>
      <w:r>
        <w:rPr>
          <w:rFonts w:hint="eastAsia" w:ascii="宋体" w:hAnsi="宋体" w:eastAsia="宋体" w:cs="宋体"/>
          <w:sz w:val="24"/>
          <w:szCs w:val="24"/>
          <w:highlight w:val="none"/>
        </w:rPr>
        <w:t>所属</w:t>
      </w:r>
      <w:r>
        <w:rPr>
          <w:rFonts w:hint="eastAsia" w:ascii="宋体" w:hAnsi="宋体" w:eastAsia="宋体" w:cs="宋体"/>
          <w:sz w:val="24"/>
          <w:szCs w:val="24"/>
          <w:highlight w:val="none"/>
          <w:u w:val="single"/>
        </w:rPr>
        <w:t xml:space="preserve"> 其他未列明行业 </w:t>
      </w:r>
      <w:r>
        <w:rPr>
          <w:rFonts w:hint="eastAsia" w:ascii="宋体" w:hAnsi="宋体" w:eastAsia="宋体" w:cs="宋体"/>
          <w:sz w:val="24"/>
          <w:szCs w:val="24"/>
          <w:highlight w:val="none"/>
        </w:rPr>
        <w:t>，根据《工业和信息化部、国家统计局、国家发展和改革委员会、财政部关于印发中小企业划型标准规定的通知》（工信部联企业[2011]300号）规定的划分标准填写。</w:t>
      </w:r>
    </w:p>
    <w:p w14:paraId="60425B54">
      <w:pPr>
        <w:keepNext w:val="0"/>
        <w:keepLines w:val="0"/>
        <w:pageBreakBefore w:val="0"/>
        <w:widowControl w:val="0"/>
        <w:spacing w:line="360" w:lineRule="auto"/>
        <w:jc w:val="lef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二、</w:t>
      </w:r>
      <w:r>
        <w:rPr>
          <w:rFonts w:hint="eastAsia" w:ascii="宋体" w:hAnsi="宋体" w:eastAsia="宋体" w:cs="宋体"/>
          <w:b/>
          <w:bCs/>
          <w:sz w:val="24"/>
          <w:szCs w:val="24"/>
          <w:highlight w:val="none"/>
          <w:lang w:val="en-US" w:eastAsia="zh-CN"/>
        </w:rPr>
        <w:t>项目执行的相关标准</w:t>
      </w:r>
    </w:p>
    <w:p w14:paraId="28A9750B">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满足</w:t>
      </w:r>
      <w:r>
        <w:rPr>
          <w:rFonts w:hint="eastAsia" w:ascii="宋体" w:hAnsi="宋体" w:cs="宋体"/>
          <w:sz w:val="24"/>
          <w:szCs w:val="24"/>
          <w:highlight w:val="none"/>
          <w:lang w:val="en-US" w:eastAsia="zh-CN"/>
        </w:rPr>
        <w:t>采购</w:t>
      </w:r>
      <w:r>
        <w:rPr>
          <w:rFonts w:hint="eastAsia" w:ascii="宋体" w:hAnsi="宋体" w:eastAsia="宋体" w:cs="宋体"/>
          <w:sz w:val="24"/>
          <w:szCs w:val="24"/>
          <w:highlight w:val="none"/>
          <w:lang w:val="en-US" w:eastAsia="zh-CN"/>
        </w:rPr>
        <w:t>文件采购需求开展，并符合现行国家相关标准、广播电影电视行业标准、地方标准或者其他标准、规范。</w:t>
      </w:r>
    </w:p>
    <w:p w14:paraId="32478060">
      <w:pPr>
        <w:keepNext w:val="0"/>
        <w:keepLines w:val="0"/>
        <w:pageBreakBefore w:val="0"/>
        <w:widowControl w:val="0"/>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三、技术要求</w:t>
      </w:r>
    </w:p>
    <w:p w14:paraId="333C1D9B">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1、服务内容：</w:t>
      </w:r>
    </w:p>
    <w:p w14:paraId="4F8BA919">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1.发挥党报 “定盘星”作用，在中央、省、市、区举办重大活动以及重要节点期间，及时协调推出头版头条或头版重点稿件，全年不少于12条。</w:t>
      </w:r>
    </w:p>
    <w:p w14:paraId="2B75DE0D">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发挥党报记者专业撰稿和宏观视野优势，加强基层调查研究，帮助大丰区挖掘提炼重大典型、重大经验，总结梳理重大成果，撰写一批深度原创稿件，积极在中央、省级权威媒体发稿，为大丰区各项特色亮点工作提供新闻舆论支撑。</w:t>
      </w:r>
    </w:p>
    <w:p w14:paraId="7DBE5883">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3.发挥全媒体矩阵优势，在加强报纸头版、头条稿件支撑的同时，充分利用登瀛观察公众号、视频号、学习强国等融媒体资源，加强全媒体宣传传播力，并积极向上级媒体推送。</w:t>
      </w:r>
    </w:p>
    <w:p w14:paraId="3EBAD0FA">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4.供应商年内组织记者不少于3次深入大丰区境内，围绕大丰绿色低碳示范区建设、新质生产力、推进新型工业化、乡村振兴等方面取得的成果，采写出有深度、接地气的稿件。</w:t>
      </w:r>
    </w:p>
    <w:p w14:paraId="68ABB394">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5.积极配合采购人自身宣传需求，协调记者前往大丰采访和编发稿件。根据采购人的外宣需求，为采购人提供宣传稿件素材。</w:t>
      </w:r>
    </w:p>
    <w:p w14:paraId="191A73A4">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6.在全国、省、市“两会”，“5·18”经贸活动，高质量发展项目观摩等重大活动期间，供应商如果策划撰写全市层面的综合稿件，优先采访大丰相关内容，并在综合稿件中体现。</w:t>
      </w:r>
    </w:p>
    <w:p w14:paraId="0E393683">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7.在市“两会”、“5·18”经贸活动、高质量发展项目观摩等关键时间节点，全年为大丰组织刊发4个专版。专版策划主题由采购人根据自身需求提出主题，供应商积极配合完成。</w:t>
      </w:r>
    </w:p>
    <w:p w14:paraId="0A52EF37">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 支持采购人建设好江苏省习近平新时代中国特色社会主义思想研究中心大丰实践调研基地，利用市级理论阵地——《理论周刊》这一重要平台，总结并刊发大丰实践调研基地的理论成果，扩大基地在全省乃至全国的影响力。</w:t>
      </w:r>
    </w:p>
    <w:p w14:paraId="399DFD51">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9.为采购人提供盐城新闻网转载和盐阜大众报“我言”新闻客户端（APP）转载。</w:t>
      </w:r>
    </w:p>
    <w:p w14:paraId="0B764E71">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10.利用新媒体内容制作和拥有官方发布平台的优势，为采购人提供如下服务：</w:t>
      </w:r>
    </w:p>
    <w:p w14:paraId="08ED0912">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（1）采购人如有重大活动需要，可提供H5制作、视频直播、微视频等新媒体产品，并在登瀛观察视频号、我言客户端等新媒体平台推送。</w:t>
      </w:r>
    </w:p>
    <w:p w14:paraId="21EE421D">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（2）在日活用户100多万人次的盐阜大众报新闻客户端开设“大丰”频道，工作日每天推送重要稿件3篇以上。</w:t>
      </w:r>
    </w:p>
    <w:p w14:paraId="0BA0994E">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（3）全年在登瀛观察公众号推送稿件10篇以上。</w:t>
      </w:r>
    </w:p>
    <w:p w14:paraId="2D9D2236">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（4）在采购人有需要的情况下，可为采购人提供稿件深加工服务，并择优将稿件向学习强国省级以上平台推送。</w:t>
      </w:r>
    </w:p>
    <w:p w14:paraId="1C1A6CEB">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11.要闻或县域新闻版全年为大丰区各乡镇、园区刊发稿件不少于20篇/家，全年刊发总数300篇以上。</w:t>
      </w:r>
    </w:p>
    <w:p w14:paraId="7D2EE6A7">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2、学习交流培训服务：</w:t>
      </w:r>
    </w:p>
    <w:p w14:paraId="4FA16796">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上下联动，供应商举办新闻业务培训，邀请采购人相关人员参加。</w:t>
      </w:r>
    </w:p>
    <w:p w14:paraId="4045BCCD">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供应商为大丰区宣传思想文化干部及区融媒中心年轻记者编辑提供媒体跟班学习机会。</w:t>
      </w:r>
    </w:p>
    <w:p w14:paraId="000DFDFE">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合作完成后，及时汇总相关宣传情况，并向甲方提供年度宣传总结。</w:t>
      </w:r>
    </w:p>
    <w:p w14:paraId="4A81AF23">
      <w:pPr>
        <w:keepNext w:val="0"/>
        <w:keepLines w:val="0"/>
        <w:pageBreakBefore w:val="0"/>
        <w:widowControl w:val="0"/>
        <w:numPr>
          <w:ilvl w:val="0"/>
          <w:numId w:val="0"/>
        </w:num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四、商务要求</w:t>
      </w:r>
    </w:p>
    <w:p w14:paraId="11778969">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1、服务期限（合同履行期限）：一年。</w:t>
      </w:r>
    </w:p>
    <w:p w14:paraId="6CA17FF5">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2、服务</w:t>
      </w:r>
      <w:r>
        <w:rPr>
          <w:rFonts w:hint="eastAsia" w:ascii="宋体" w:hAnsi="宋体" w:eastAsia="宋体" w:cs="宋体"/>
          <w:sz w:val="24"/>
          <w:szCs w:val="24"/>
          <w:highlight w:val="none"/>
          <w:lang w:val="zh-CN" w:eastAsia="zh-CN"/>
        </w:rPr>
        <w:t>地点：</w:t>
      </w:r>
      <w:r>
        <w:rPr>
          <w:rFonts w:hint="eastAsia" w:ascii="宋体" w:hAnsi="宋体" w:eastAsia="宋体" w:cs="宋体"/>
          <w:sz w:val="24"/>
          <w:szCs w:val="24"/>
          <w:highlight w:val="none"/>
          <w:lang w:val="en-US" w:eastAsia="zh-CN"/>
        </w:rPr>
        <w:t>位于江苏省盐城市大丰区境内。</w:t>
      </w:r>
    </w:p>
    <w:p w14:paraId="6E448267">
      <w:pPr>
        <w:keepNext w:val="0"/>
        <w:keepLines w:val="0"/>
        <w:pageBreakBefore w:val="0"/>
        <w:widowControl w:val="0"/>
        <w:spacing w:line="360" w:lineRule="auto"/>
        <w:ind w:firstLine="480"/>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zh-CN"/>
        </w:rPr>
        <w:t>付款方式：</w:t>
      </w:r>
    </w:p>
    <w:p w14:paraId="03E681F0">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（1）合同签订后60日内预付合同总额的30%；</w:t>
      </w:r>
    </w:p>
    <w:p w14:paraId="10FCFD58">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（2）合同签订后120日内支付合同总额的60%；</w:t>
      </w:r>
    </w:p>
    <w:p w14:paraId="234DB8B9">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（3）合同签订后180日内支付合同总额的90%；</w:t>
      </w:r>
    </w:p>
    <w:p w14:paraId="5CA31A59">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（4）项目完成或2026年底前后15日内支付剩余合同金额。</w:t>
      </w:r>
    </w:p>
    <w:p w14:paraId="4BEE9D15">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注：按以上进度付款无任何利息补偿，甲方每次按合同约定付款前，乙方均应向甲方出具正规发票，否则甲方有权延迟付款，并不产生违约责任。</w:t>
      </w:r>
    </w:p>
    <w:p w14:paraId="4A203B17">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4、售后服务内容、要求和期限</w:t>
      </w:r>
    </w:p>
    <w:p w14:paraId="7C739DA0">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有关部门、单位进行调查、查阅复核工作所需的信息，供应商须进行配合。</w:t>
      </w:r>
    </w:p>
    <w:p w14:paraId="707BBDC6">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eastAsia="zh-CN"/>
        </w:rPr>
        <w:t>结算方式：采购人应结算金额按中标供应商合同价结算。</w:t>
      </w:r>
    </w:p>
    <w:p w14:paraId="26199973">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6、其他</w:t>
      </w:r>
    </w:p>
    <w:p w14:paraId="70B63FBE">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（1）成果要求：根据服务内容形成服务成果报告。</w:t>
      </w:r>
    </w:p>
    <w:p w14:paraId="2CD15D3F">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成果验收要求：服务成果报告通过采购人确认。采购人按采购文件相关要求进行。采购人自行对供应商提供的合作服务进行验收。因供应商提供的合作服务不符合标准导致甲方重复支出的验收费用，由乙方承担。</w:t>
      </w:r>
    </w:p>
    <w:p w14:paraId="4459F9AE">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（3）采购标的的其他技术、服务等要求：</w:t>
      </w:r>
    </w:p>
    <w:p w14:paraId="74F25C41">
      <w:pPr>
        <w:keepNext w:val="0"/>
        <w:keepLines w:val="0"/>
        <w:pageBreakBefore w:val="0"/>
        <w:widowControl w:val="0"/>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1.如果采购人经评审认为供应商在服务期间未能履行服务承诺和合同规定的义务，管理质量低劣，用户多次投诉仍不改正并无相应保证措施的，则采购人有权在合同期内决定中止服务合同。</w:t>
      </w:r>
    </w:p>
    <w:p w14:paraId="1A06DD78">
      <w:pPr>
        <w:keepNext w:val="0"/>
        <w:keepLines w:val="0"/>
        <w:pageBreakBefore w:val="0"/>
        <w:widowControl w:val="0"/>
        <w:spacing w:line="360" w:lineRule="auto"/>
        <w:ind w:firstLine="480"/>
        <w:jc w:val="left"/>
        <w:rPr>
          <w:rFonts w:hint="eastAsia" w:ascii="宋体" w:hAnsi="宋体" w:eastAsia="宋体" w:cs="宋体"/>
          <w:kern w:val="2"/>
          <w:sz w:val="24"/>
          <w:szCs w:val="24"/>
          <w:lang w:val="en-US" w:eastAsia="zh-CN"/>
        </w:rPr>
      </w:pPr>
      <w:r>
        <w:rPr>
          <w:rFonts w:hint="eastAsia" w:ascii="宋体" w:hAnsi="宋体" w:eastAsia="宋体" w:cs="宋体"/>
          <w:sz w:val="24"/>
          <w:szCs w:val="24"/>
          <w:highlight w:val="none"/>
          <w:lang w:val="en-US" w:eastAsia="zh-CN"/>
        </w:rPr>
        <w:t>2.供应商须采取有效措施保护采购人的知识产权。</w:t>
      </w:r>
    </w:p>
    <w:p w14:paraId="57A1CB20">
      <w:pPr>
        <w:spacing w:line="500" w:lineRule="exact"/>
        <w:rPr>
          <w:rFonts w:ascii="宋体" w:hAnsi="宋体" w:eastAsia="宋体" w:cs="宋体"/>
          <w:b/>
          <w:bCs/>
          <w:color w:val="000000"/>
          <w:sz w:val="24"/>
        </w:rPr>
      </w:pPr>
      <w:r>
        <w:rPr>
          <w:rFonts w:hint="eastAsia" w:ascii="宋体" w:hAnsi="宋体" w:eastAsia="宋体" w:cs="宋体"/>
          <w:b/>
          <w:bCs/>
          <w:sz w:val="24"/>
          <w:szCs w:val="24"/>
          <w:highlight w:val="none"/>
          <w:lang w:val="en-US" w:eastAsia="zh-CN"/>
        </w:rPr>
        <w:t>五、价格部分</w:t>
      </w:r>
      <w:r>
        <w:rPr>
          <w:rFonts w:hint="eastAsia" w:ascii="宋体" w:hAnsi="宋体" w:eastAsia="宋体" w:cs="宋体"/>
          <w:b/>
          <w:bCs/>
          <w:color w:val="000000"/>
          <w:sz w:val="24"/>
        </w:rPr>
        <w:t>要求</w:t>
      </w:r>
    </w:p>
    <w:p w14:paraId="4F9D7ADE">
      <w:pPr>
        <w:spacing w:line="500" w:lineRule="exact"/>
        <w:ind w:firstLine="480"/>
        <w:rPr>
          <w:rFonts w:ascii="宋体" w:hAnsi="宋体" w:eastAsia="宋体" w:cs="宋体"/>
          <w:bCs/>
          <w:sz w:val="24"/>
        </w:rPr>
      </w:pPr>
      <w:r>
        <w:rPr>
          <w:rFonts w:hint="eastAsia" w:ascii="宋体" w:hAnsi="宋体" w:eastAsia="宋体" w:cs="宋体"/>
          <w:bCs/>
          <w:sz w:val="24"/>
        </w:rPr>
        <w:t>1、采购人拒绝高于最高限价的投标报价。</w:t>
      </w:r>
    </w:p>
    <w:p w14:paraId="55B57A96">
      <w:pPr>
        <w:spacing w:line="500" w:lineRule="exact"/>
        <w:ind w:firstLine="480"/>
        <w:rPr>
          <w:rFonts w:ascii="宋体" w:hAnsi="宋体" w:eastAsia="宋体" w:cs="宋体"/>
          <w:bCs/>
          <w:sz w:val="24"/>
        </w:rPr>
      </w:pPr>
      <w:r>
        <w:rPr>
          <w:rFonts w:hint="eastAsia" w:ascii="宋体" w:hAnsi="宋体" w:eastAsia="宋体" w:cs="宋体"/>
          <w:bCs/>
          <w:sz w:val="24"/>
        </w:rPr>
        <w:t>2、投标报价采用固定总价报价的方式，供应商根据实际情况</w:t>
      </w:r>
      <w:bookmarkStart w:id="167" w:name="OLE_LINK12"/>
      <w:r>
        <w:rPr>
          <w:rFonts w:hint="eastAsia" w:ascii="宋体" w:hAnsi="宋体" w:eastAsia="宋体" w:cs="宋体"/>
          <w:bCs/>
          <w:sz w:val="24"/>
        </w:rPr>
        <w:t>、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167"/>
      <w:r>
        <w:rPr>
          <w:rFonts w:hint="eastAsia" w:ascii="宋体" w:hAnsi="宋体" w:eastAsia="宋体" w:cs="宋体"/>
          <w:bCs/>
          <w:sz w:val="24"/>
        </w:rPr>
        <w:t>人工费（含工资、社会统筹保险金、加班工资、工作餐、相关福利、关于人员聘用的费用等）、加急费、报告编制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评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p>
    <w:p w14:paraId="37A67FEF">
      <w:pPr>
        <w:pStyle w:val="14"/>
        <w:keepNext w:val="0"/>
        <w:keepLines w:val="0"/>
        <w:pageBreakBefore w:val="0"/>
        <w:widowControl w:val="0"/>
        <w:spacing w:line="440" w:lineRule="exac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六</w:t>
      </w:r>
      <w:r>
        <w:rPr>
          <w:rFonts w:hint="eastAsia" w:ascii="宋体" w:hAnsi="宋体" w:eastAsia="宋体" w:cs="宋体"/>
          <w:b/>
          <w:bCs/>
          <w:color w:val="auto"/>
          <w:sz w:val="24"/>
          <w:highlight w:val="none"/>
          <w:lang w:val="en-US" w:eastAsia="zh-CN"/>
        </w:rPr>
        <w:t>、采购标的对应的中小企业划分标准所属行业一览表</w:t>
      </w:r>
    </w:p>
    <w:tbl>
      <w:tblPr>
        <w:tblStyle w:val="32"/>
        <w:tblW w:w="5000" w:type="pct"/>
        <w:jc w:val="center"/>
        <w:tblCellSpacing w:w="0" w:type="dxa"/>
        <w:tblLayout w:type="autofit"/>
        <w:tblCellMar>
          <w:top w:w="0" w:type="dxa"/>
          <w:left w:w="108" w:type="dxa"/>
          <w:bottom w:w="0" w:type="dxa"/>
          <w:right w:w="108" w:type="dxa"/>
        </w:tblCellMar>
      </w:tblPr>
      <w:tblGrid>
        <w:gridCol w:w="577"/>
        <w:gridCol w:w="5255"/>
        <w:gridCol w:w="2710"/>
      </w:tblGrid>
      <w:tr w14:paraId="54EA3A95">
        <w:tblPrEx>
          <w:tblCellMar>
            <w:top w:w="0" w:type="dxa"/>
            <w:left w:w="108" w:type="dxa"/>
            <w:bottom w:w="0" w:type="dxa"/>
            <w:right w:w="108" w:type="dxa"/>
          </w:tblCellMar>
        </w:tblPrEx>
        <w:trPr>
          <w:trHeight w:val="567" w:hRule="atLeast"/>
          <w:tblCellSpacing w:w="0" w:type="dxa"/>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600A8">
            <w:pPr>
              <w:pStyle w:val="29"/>
              <w:keepNext w:val="0"/>
              <w:keepLines w:val="0"/>
              <w:pageBreakBefore w:val="0"/>
              <w:spacing w:beforeAutospacing="0" w:afterAutospacing="0" w:line="240" w:lineRule="auto"/>
              <w:jc w:val="center"/>
              <w:rPr>
                <w:rFonts w:hint="eastAsia" w:ascii="宋体" w:hAnsi="宋体" w:eastAsia="宋体" w:cs="宋体"/>
                <w:color w:val="auto"/>
              </w:rPr>
            </w:pPr>
            <w:r>
              <w:rPr>
                <w:rFonts w:hint="eastAsia" w:ascii="宋体" w:hAnsi="宋体" w:eastAsia="宋体" w:cs="宋体"/>
                <w:color w:val="auto"/>
              </w:rPr>
              <w:t>序号</w:t>
            </w:r>
          </w:p>
        </w:tc>
        <w:tc>
          <w:tcPr>
            <w:tcW w:w="30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A5D9D">
            <w:pPr>
              <w:pStyle w:val="29"/>
              <w:keepNext w:val="0"/>
              <w:keepLines w:val="0"/>
              <w:pageBreakBefore w:val="0"/>
              <w:spacing w:beforeAutospacing="0" w:afterAutospacing="0" w:line="240" w:lineRule="auto"/>
              <w:jc w:val="center"/>
              <w:rPr>
                <w:rFonts w:hint="eastAsia" w:ascii="宋体" w:hAnsi="宋体" w:eastAsia="宋体" w:cs="宋体"/>
                <w:color w:val="auto"/>
              </w:rPr>
            </w:pPr>
            <w:r>
              <w:rPr>
                <w:rFonts w:hint="eastAsia" w:ascii="宋体" w:hAnsi="宋体" w:eastAsia="宋体" w:cs="宋体"/>
                <w:color w:val="auto"/>
              </w:rPr>
              <w:t>采购标的</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3F11B">
            <w:pPr>
              <w:pStyle w:val="29"/>
              <w:keepNext w:val="0"/>
              <w:keepLines w:val="0"/>
              <w:pageBreakBefore w:val="0"/>
              <w:spacing w:beforeAutospacing="0" w:afterAutospacing="0" w:line="240" w:lineRule="auto"/>
              <w:jc w:val="center"/>
              <w:rPr>
                <w:rFonts w:hint="eastAsia" w:ascii="宋体" w:hAnsi="宋体" w:eastAsia="宋体" w:cs="宋体"/>
                <w:color w:val="auto"/>
              </w:rPr>
            </w:pPr>
            <w:r>
              <w:rPr>
                <w:rFonts w:hint="eastAsia" w:ascii="宋体" w:hAnsi="宋体" w:eastAsia="宋体" w:cs="宋体"/>
                <w:color w:val="auto"/>
              </w:rPr>
              <w:t>对应中小企业划分标准所属行业</w:t>
            </w:r>
          </w:p>
        </w:tc>
      </w:tr>
      <w:tr w14:paraId="2F068286">
        <w:tblPrEx>
          <w:tblCellMar>
            <w:top w:w="0" w:type="dxa"/>
            <w:left w:w="108" w:type="dxa"/>
            <w:bottom w:w="0" w:type="dxa"/>
            <w:right w:w="108" w:type="dxa"/>
          </w:tblCellMar>
        </w:tblPrEx>
        <w:trPr>
          <w:trHeight w:val="567" w:hRule="atLeast"/>
          <w:tblCellSpacing w:w="0" w:type="dxa"/>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D524F">
            <w:pPr>
              <w:keepNext w:val="0"/>
              <w:keepLines w:val="0"/>
              <w:pageBreakBefore w:val="0"/>
              <w:widowControl/>
              <w:suppressLineNumbers w:val="0"/>
              <w:spacing w:line="240"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30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BFBCE">
            <w:pPr>
              <w:keepNext w:val="0"/>
              <w:keepLines w:val="0"/>
              <w:pageBreakBefore w:val="0"/>
              <w:widowControl/>
              <w:suppressLineNumbers w:val="0"/>
              <w:spacing w:line="240" w:lineRule="auto"/>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sz w:val="24"/>
                <w:szCs w:val="24"/>
                <w:highlight w:val="none"/>
                <w:lang w:eastAsia="zh-CN"/>
              </w:rPr>
              <w:t>盐阜大众报</w:t>
            </w:r>
            <w:r>
              <w:rPr>
                <w:rFonts w:hint="eastAsia" w:ascii="宋体" w:hAnsi="宋体" w:cs="宋体"/>
                <w:sz w:val="24"/>
                <w:szCs w:val="24"/>
                <w:highlight w:val="none"/>
                <w:lang w:val="en-US" w:eastAsia="zh-CN"/>
              </w:rPr>
              <w:t>年度合作项目</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DCC879">
            <w:pPr>
              <w:keepNext w:val="0"/>
              <w:keepLines w:val="0"/>
              <w:pageBreakBefore w:val="0"/>
              <w:widowControl/>
              <w:suppressLineNumbers w:val="0"/>
              <w:spacing w:line="240"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其他未列明行业</w:t>
            </w:r>
          </w:p>
        </w:tc>
      </w:tr>
    </w:tbl>
    <w:p w14:paraId="5A471E0C">
      <w:pPr>
        <w:jc w:val="center"/>
        <w:rPr>
          <w:rFonts w:hint="eastAsia" w:ascii="黑体" w:hAnsi="黑体" w:eastAsia="黑体" w:cs="黑体"/>
          <w:b/>
          <w:bCs/>
          <w:color w:val="000000"/>
          <w:sz w:val="44"/>
          <w:szCs w:val="44"/>
        </w:rPr>
      </w:pPr>
    </w:p>
    <w:p w14:paraId="19E3738B">
      <w:pPr>
        <w:jc w:val="both"/>
        <w:rPr>
          <w:rFonts w:hint="eastAsia" w:ascii="黑体" w:hAnsi="黑体" w:eastAsia="黑体" w:cs="黑体"/>
          <w:b/>
          <w:bCs/>
          <w:color w:val="000000"/>
          <w:sz w:val="44"/>
          <w:szCs w:val="44"/>
        </w:rPr>
      </w:pPr>
    </w:p>
    <w:p w14:paraId="07FABD20">
      <w:pPr>
        <w:jc w:val="center"/>
        <w:rPr>
          <w:rFonts w:hint="eastAsia" w:ascii="黑体" w:hAnsi="黑体" w:eastAsia="黑体" w:cs="黑体"/>
          <w:b/>
          <w:bCs/>
          <w:color w:val="000000"/>
          <w:sz w:val="44"/>
          <w:szCs w:val="44"/>
        </w:rPr>
      </w:pPr>
    </w:p>
    <w:p w14:paraId="0462FEC2">
      <w:pPr>
        <w:jc w:val="center"/>
        <w:rPr>
          <w:rFonts w:hint="eastAsia" w:ascii="黑体" w:hAnsi="黑体" w:eastAsia="黑体" w:cs="黑体"/>
          <w:b/>
          <w:bCs/>
          <w:color w:val="000000"/>
          <w:sz w:val="44"/>
          <w:szCs w:val="44"/>
        </w:rPr>
      </w:pPr>
    </w:p>
    <w:p w14:paraId="3464607D">
      <w:pPr>
        <w:jc w:val="center"/>
        <w:rPr>
          <w:rFonts w:hint="eastAsia" w:ascii="黑体" w:hAnsi="黑体" w:eastAsia="黑体" w:cs="黑体"/>
          <w:b/>
          <w:bCs/>
          <w:color w:val="000000"/>
          <w:sz w:val="44"/>
          <w:szCs w:val="44"/>
        </w:rPr>
      </w:pPr>
    </w:p>
    <w:p w14:paraId="2C97895A">
      <w:pPr>
        <w:jc w:val="center"/>
        <w:rPr>
          <w:rFonts w:hint="eastAsia" w:ascii="黑体" w:hAnsi="黑体" w:eastAsia="黑体" w:cs="黑体"/>
          <w:b/>
          <w:bCs/>
          <w:color w:val="000000"/>
          <w:sz w:val="44"/>
          <w:szCs w:val="44"/>
        </w:rPr>
      </w:pPr>
    </w:p>
    <w:p w14:paraId="66B3885B">
      <w:pPr>
        <w:jc w:val="center"/>
        <w:rPr>
          <w:rFonts w:hint="eastAsia" w:ascii="黑体" w:hAnsi="黑体" w:eastAsia="黑体" w:cs="黑体"/>
          <w:b/>
          <w:bCs/>
          <w:color w:val="000000"/>
          <w:sz w:val="44"/>
          <w:szCs w:val="44"/>
        </w:rPr>
      </w:pPr>
    </w:p>
    <w:p w14:paraId="0B07EE79">
      <w:pPr>
        <w:jc w:val="center"/>
        <w:rPr>
          <w:rFonts w:hint="eastAsia" w:ascii="黑体" w:hAnsi="黑体" w:eastAsia="黑体" w:cs="黑体"/>
          <w:b/>
          <w:bCs/>
          <w:color w:val="000000"/>
          <w:sz w:val="44"/>
          <w:szCs w:val="44"/>
        </w:rPr>
      </w:pPr>
      <w:r>
        <w:rPr>
          <w:rFonts w:hint="eastAsia" w:ascii="黑体" w:hAnsi="黑体" w:eastAsia="黑体" w:cs="黑体"/>
          <w:b/>
          <w:bCs/>
          <w:color w:val="000000"/>
          <w:sz w:val="44"/>
          <w:szCs w:val="44"/>
        </w:rPr>
        <w:t>第</w:t>
      </w:r>
      <w:r>
        <w:rPr>
          <w:rFonts w:hint="eastAsia" w:ascii="黑体" w:hAnsi="黑体" w:eastAsia="黑体" w:cs="黑体"/>
          <w:b/>
          <w:bCs/>
          <w:color w:val="000000"/>
          <w:sz w:val="44"/>
          <w:szCs w:val="44"/>
          <w:lang w:val="en-US" w:eastAsia="zh-CN"/>
        </w:rPr>
        <w:t>五</w:t>
      </w:r>
      <w:r>
        <w:rPr>
          <w:rFonts w:hint="eastAsia" w:ascii="黑体" w:hAnsi="黑体" w:eastAsia="黑体" w:cs="黑体"/>
          <w:b/>
          <w:bCs/>
          <w:color w:val="000000"/>
          <w:sz w:val="44"/>
          <w:szCs w:val="44"/>
        </w:rPr>
        <w:t>章</w:t>
      </w:r>
      <w:r>
        <w:rPr>
          <w:rFonts w:hint="eastAsia" w:ascii="黑体" w:hAnsi="黑体" w:eastAsia="黑体" w:cs="黑体"/>
          <w:b/>
          <w:bCs/>
          <w:color w:val="000000"/>
          <w:sz w:val="44"/>
          <w:szCs w:val="44"/>
          <w:lang w:val="en-US" w:eastAsia="zh-CN"/>
        </w:rPr>
        <w:t xml:space="preserve">  响应</w:t>
      </w:r>
      <w:r>
        <w:rPr>
          <w:rFonts w:hint="eastAsia" w:ascii="黑体" w:hAnsi="黑体" w:eastAsia="黑体" w:cs="黑体"/>
          <w:b/>
          <w:bCs/>
          <w:color w:val="000000"/>
          <w:sz w:val="44"/>
          <w:szCs w:val="44"/>
        </w:rPr>
        <w:t>文件格式</w:t>
      </w:r>
    </w:p>
    <w:p w14:paraId="55812FC5">
      <w:pPr>
        <w:pStyle w:val="81"/>
        <w:spacing w:beforeAutospacing="0" w:afterAutospacing="0"/>
        <w:jc w:val="center"/>
        <w:rPr>
          <w:rFonts w:hint="eastAsia" w:ascii="宋体" w:hAnsi="宋体" w:eastAsia="宋体" w:cs="宋体"/>
          <w:b/>
          <w:color w:val="000000"/>
          <w:sz w:val="72"/>
          <w:szCs w:val="72"/>
        </w:rPr>
      </w:pPr>
      <w:bookmarkStart w:id="168" w:name="_Toc49090576"/>
      <w:bookmarkEnd w:id="168"/>
      <w:bookmarkStart w:id="169" w:name="_Toc120614282"/>
      <w:bookmarkEnd w:id="169"/>
      <w:bookmarkStart w:id="170" w:name="_Toc26554094"/>
      <w:bookmarkStart w:id="171" w:name="_Hlt26671244"/>
      <w:bookmarkStart w:id="172" w:name="_Hlt26955039"/>
    </w:p>
    <w:p w14:paraId="22CF8EBF">
      <w:pPr>
        <w:pStyle w:val="81"/>
        <w:spacing w:beforeAutospacing="0" w:afterAutospacing="0"/>
        <w:jc w:val="center"/>
        <w:rPr>
          <w:rFonts w:hint="eastAsia" w:ascii="宋体" w:hAnsi="宋体" w:eastAsia="宋体" w:cs="宋体"/>
          <w:b/>
          <w:color w:val="000000"/>
          <w:sz w:val="72"/>
          <w:szCs w:val="72"/>
        </w:rPr>
      </w:pPr>
    </w:p>
    <w:p w14:paraId="1AFB72B7">
      <w:pPr>
        <w:pStyle w:val="81"/>
        <w:spacing w:beforeAutospacing="0" w:afterAutospacing="0"/>
        <w:jc w:val="center"/>
        <w:rPr>
          <w:rFonts w:hint="eastAsia" w:ascii="宋体" w:hAnsi="宋体" w:eastAsia="宋体" w:cs="宋体"/>
          <w:b/>
          <w:color w:val="000000"/>
          <w:sz w:val="72"/>
          <w:szCs w:val="72"/>
        </w:rPr>
      </w:pPr>
    </w:p>
    <w:p w14:paraId="62A960D9">
      <w:pPr>
        <w:pStyle w:val="81"/>
        <w:spacing w:beforeAutospacing="0" w:afterAutospacing="0"/>
        <w:jc w:val="center"/>
        <w:rPr>
          <w:rFonts w:hint="eastAsia" w:ascii="宋体" w:hAnsi="宋体" w:eastAsia="宋体" w:cs="宋体"/>
          <w:b/>
          <w:color w:val="000000"/>
          <w:sz w:val="72"/>
          <w:szCs w:val="72"/>
        </w:rPr>
      </w:pPr>
    </w:p>
    <w:p w14:paraId="13F56231">
      <w:pPr>
        <w:pStyle w:val="81"/>
        <w:spacing w:beforeAutospacing="0" w:afterAutospacing="0"/>
        <w:jc w:val="center"/>
        <w:rPr>
          <w:rFonts w:hint="eastAsia" w:ascii="宋体" w:hAnsi="宋体" w:eastAsia="宋体" w:cs="宋体"/>
          <w:b/>
          <w:color w:val="000000"/>
        </w:rPr>
      </w:pPr>
      <w:r>
        <w:rPr>
          <w:rFonts w:hint="eastAsia" w:ascii="宋体" w:hAnsi="宋体" w:eastAsia="宋体" w:cs="宋体"/>
          <w:b/>
          <w:color w:val="000000"/>
          <w:sz w:val="72"/>
          <w:szCs w:val="72"/>
        </w:rPr>
        <w:t>响  应  文  件</w:t>
      </w:r>
    </w:p>
    <w:p w14:paraId="466FA6E1">
      <w:pPr>
        <w:pStyle w:val="81"/>
        <w:spacing w:beforeAutospacing="0" w:afterAutospacing="0"/>
        <w:jc w:val="center"/>
        <w:rPr>
          <w:rFonts w:hint="eastAsia" w:ascii="宋体" w:hAnsi="宋体" w:eastAsia="宋体" w:cs="宋体"/>
          <w:color w:val="000000"/>
        </w:rPr>
      </w:pPr>
      <w:r>
        <w:rPr>
          <w:rFonts w:hint="eastAsia" w:ascii="宋体" w:hAnsi="宋体" w:eastAsia="宋体" w:cs="宋体"/>
          <w:color w:val="000000"/>
        </w:rPr>
        <w:t> </w:t>
      </w:r>
    </w:p>
    <w:p w14:paraId="6145EC73">
      <w:pPr>
        <w:pStyle w:val="81"/>
        <w:spacing w:beforeAutospacing="0" w:afterAutospacing="0"/>
        <w:jc w:val="center"/>
        <w:rPr>
          <w:rFonts w:hint="eastAsia" w:ascii="宋体" w:hAnsi="宋体" w:eastAsia="宋体" w:cs="宋体"/>
          <w:color w:val="000000"/>
        </w:rPr>
      </w:pPr>
      <w:r>
        <w:rPr>
          <w:rFonts w:hint="eastAsia" w:ascii="宋体" w:hAnsi="宋体" w:eastAsia="宋体" w:cs="宋体"/>
          <w:color w:val="000000"/>
        </w:rPr>
        <w:t> </w:t>
      </w:r>
    </w:p>
    <w:p w14:paraId="3A10673C">
      <w:pPr>
        <w:pStyle w:val="81"/>
        <w:spacing w:beforeAutospacing="0" w:afterAutospacing="0"/>
        <w:jc w:val="center"/>
        <w:rPr>
          <w:rFonts w:hint="eastAsia" w:ascii="宋体" w:hAnsi="宋体" w:eastAsia="宋体" w:cs="宋体"/>
          <w:color w:val="000000"/>
        </w:rPr>
      </w:pPr>
      <w:r>
        <w:rPr>
          <w:rFonts w:hint="eastAsia" w:ascii="宋体" w:hAnsi="宋体" w:eastAsia="宋体" w:cs="宋体"/>
          <w:color w:val="000000"/>
        </w:rPr>
        <w:t> </w:t>
      </w:r>
    </w:p>
    <w:p w14:paraId="42AFEF0D">
      <w:pPr>
        <w:pStyle w:val="81"/>
        <w:spacing w:beforeAutospacing="0" w:afterAutospacing="0"/>
        <w:jc w:val="center"/>
        <w:rPr>
          <w:rFonts w:hint="eastAsia" w:ascii="宋体" w:hAnsi="宋体" w:eastAsia="宋体" w:cs="宋体"/>
          <w:color w:val="000000"/>
        </w:rPr>
      </w:pPr>
      <w:r>
        <w:rPr>
          <w:rFonts w:hint="eastAsia" w:ascii="宋体" w:hAnsi="宋体" w:eastAsia="宋体" w:cs="宋体"/>
          <w:color w:val="000000"/>
        </w:rPr>
        <w:t> </w:t>
      </w:r>
    </w:p>
    <w:p w14:paraId="4F6F86EF">
      <w:pPr>
        <w:pStyle w:val="81"/>
        <w:spacing w:beforeAutospacing="0" w:afterAutospacing="0"/>
        <w:jc w:val="center"/>
        <w:rPr>
          <w:rFonts w:hint="eastAsia" w:ascii="宋体" w:hAnsi="宋体" w:eastAsia="宋体" w:cs="宋体"/>
          <w:color w:val="000000"/>
        </w:rPr>
      </w:pPr>
      <w:r>
        <w:rPr>
          <w:rFonts w:hint="eastAsia" w:ascii="宋体" w:hAnsi="宋体" w:eastAsia="宋体" w:cs="宋体"/>
          <w:color w:val="000000"/>
        </w:rPr>
        <w:t> </w:t>
      </w:r>
    </w:p>
    <w:p w14:paraId="08303221">
      <w:pPr>
        <w:pStyle w:val="81"/>
        <w:spacing w:beforeAutospacing="0" w:afterAutospacing="0"/>
        <w:ind w:firstLine="1084"/>
        <w:jc w:val="both"/>
        <w:rPr>
          <w:rFonts w:hint="eastAsia" w:ascii="宋体" w:hAnsi="宋体" w:eastAsia="宋体" w:cs="宋体"/>
          <w:b/>
          <w:color w:val="000000"/>
          <w:sz w:val="36"/>
          <w:szCs w:val="36"/>
        </w:rPr>
      </w:pPr>
    </w:p>
    <w:p w14:paraId="20612F63">
      <w:pPr>
        <w:pStyle w:val="81"/>
        <w:spacing w:beforeAutospacing="0" w:afterAutospacing="0"/>
        <w:ind w:firstLine="1084"/>
        <w:jc w:val="both"/>
        <w:rPr>
          <w:rFonts w:hint="eastAsia" w:ascii="宋体" w:hAnsi="宋体" w:eastAsia="宋体" w:cs="宋体"/>
          <w:b/>
          <w:color w:val="000000"/>
          <w:sz w:val="36"/>
          <w:szCs w:val="36"/>
        </w:rPr>
      </w:pPr>
    </w:p>
    <w:p w14:paraId="649C7D30">
      <w:pPr>
        <w:pStyle w:val="81"/>
        <w:spacing w:beforeAutospacing="0" w:afterAutospacing="0"/>
        <w:ind w:firstLine="1084"/>
        <w:jc w:val="both"/>
        <w:rPr>
          <w:rFonts w:hint="eastAsia" w:ascii="宋体" w:hAnsi="宋体" w:eastAsia="宋体" w:cs="宋体"/>
          <w:b/>
          <w:color w:val="000000"/>
          <w:sz w:val="36"/>
          <w:szCs w:val="36"/>
        </w:rPr>
      </w:pPr>
    </w:p>
    <w:p w14:paraId="4594E9A1">
      <w:pPr>
        <w:pStyle w:val="81"/>
        <w:spacing w:beforeAutospacing="0" w:afterAutospacing="0"/>
        <w:ind w:firstLine="1084"/>
        <w:jc w:val="both"/>
        <w:rPr>
          <w:rFonts w:hint="eastAsia" w:ascii="宋体" w:hAnsi="宋体" w:eastAsia="宋体" w:cs="宋体"/>
          <w:b/>
          <w:color w:val="000000"/>
          <w:sz w:val="36"/>
          <w:szCs w:val="36"/>
        </w:rPr>
      </w:pPr>
    </w:p>
    <w:p w14:paraId="0FA29070">
      <w:pPr>
        <w:pStyle w:val="81"/>
        <w:spacing w:beforeAutospacing="0" w:afterAutospacing="0"/>
        <w:ind w:firstLine="1084"/>
        <w:jc w:val="both"/>
        <w:rPr>
          <w:rFonts w:hint="eastAsia" w:ascii="宋体" w:hAnsi="宋体" w:eastAsia="宋体" w:cs="宋体"/>
          <w:color w:val="000000"/>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4DCE4CBC">
      <w:pPr>
        <w:pStyle w:val="81"/>
        <w:spacing w:beforeAutospacing="0" w:afterAutospacing="0"/>
        <w:ind w:firstLine="1084"/>
        <w:jc w:val="both"/>
        <w:rPr>
          <w:rFonts w:hint="eastAsia" w:ascii="宋体" w:hAnsi="宋体" w:eastAsia="宋体" w:cs="宋体"/>
          <w:color w:val="000000"/>
          <w:lang w:val="en-US" w:eastAsia="zh-CN"/>
        </w:rPr>
      </w:pPr>
      <w:r>
        <w:rPr>
          <w:rFonts w:hint="eastAsia" w:ascii="宋体" w:hAnsi="宋体" w:eastAsia="宋体" w:cs="宋体"/>
          <w:b/>
          <w:color w:val="000000"/>
          <w:sz w:val="36"/>
          <w:szCs w:val="36"/>
        </w:rPr>
        <w:t>采 购 编 号：</w:t>
      </w:r>
      <w:r>
        <w:rPr>
          <w:rFonts w:hint="eastAsia" w:ascii="宋体" w:hAnsi="宋体" w:eastAsia="宋体" w:cs="宋体"/>
          <w:b/>
          <w:color w:val="000000"/>
          <w:sz w:val="36"/>
          <w:szCs w:val="36"/>
          <w:u w:val="single"/>
        </w:rPr>
        <w:t>           </w:t>
      </w:r>
      <w:r>
        <w:rPr>
          <w:rFonts w:hint="eastAsia" w:ascii="宋体" w:hAnsi="宋体" w:eastAsia="宋体" w:cs="宋体"/>
          <w:b/>
          <w:color w:val="000000"/>
          <w:sz w:val="36"/>
          <w:szCs w:val="36"/>
          <w:u w:val="single"/>
          <w:lang w:val="en-US" w:eastAsia="zh-CN"/>
        </w:rPr>
        <w:t xml:space="preserve"> </w:t>
      </w:r>
    </w:p>
    <w:p w14:paraId="5CB1D417">
      <w:pPr>
        <w:pStyle w:val="81"/>
        <w:spacing w:beforeAutospacing="0" w:afterAutospacing="0"/>
        <w:jc w:val="both"/>
        <w:rPr>
          <w:rFonts w:ascii="宋体" w:hAnsi="宋体" w:eastAsia="宋体" w:cs="宋体"/>
          <w:color w:val="000000"/>
          <w:lang w:val="en-US" w:eastAsia="zh-CN"/>
        </w:rPr>
      </w:pPr>
      <w:r>
        <w:rPr>
          <w:rFonts w:hint="eastAsia" w:ascii="宋体" w:hAnsi="宋体" w:eastAsia="宋体" w:cs="宋体"/>
          <w:b/>
          <w:color w:val="000000"/>
          <w:sz w:val="36"/>
          <w:szCs w:val="36"/>
        </w:rPr>
        <w:t>    供应商名称</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w:t>
      </w:r>
      <w:r>
        <w:rPr>
          <w:rFonts w:hint="eastAsia" w:ascii="宋体" w:hAnsi="宋体" w:eastAsia="宋体" w:cs="宋体"/>
          <w:b/>
          <w:color w:val="000000"/>
          <w:sz w:val="36"/>
          <w:szCs w:val="36"/>
          <w:u w:val="single"/>
        </w:rPr>
        <w:t>（加盖CA电子公章）</w:t>
      </w:r>
      <w:r>
        <w:rPr>
          <w:rFonts w:hint="eastAsia" w:ascii="宋体" w:hAnsi="宋体" w:eastAsia="宋体" w:cs="宋体"/>
          <w:b/>
          <w:color w:val="000000"/>
          <w:sz w:val="36"/>
          <w:szCs w:val="36"/>
          <w:u w:val="single"/>
          <w:lang w:val="en-US" w:eastAsia="zh-CN"/>
        </w:rPr>
        <w:t xml:space="preserve">     </w:t>
      </w:r>
    </w:p>
    <w:p w14:paraId="2A386169">
      <w:pPr>
        <w:pStyle w:val="81"/>
        <w:spacing w:beforeAutospacing="0" w:afterAutospacing="0"/>
        <w:jc w:val="both"/>
        <w:rPr>
          <w:rFonts w:ascii="宋体" w:hAnsi="宋体" w:eastAsia="宋体" w:cs="宋体"/>
          <w:b/>
          <w:color w:val="000000"/>
          <w:sz w:val="36"/>
          <w:szCs w:val="36"/>
          <w:u w:val="single"/>
          <w:lang w:val="en-US" w:eastAsia="zh-CN"/>
        </w:rPr>
      </w:pPr>
      <w:r>
        <w:rPr>
          <w:rFonts w:hint="eastAsia" w:ascii="宋体" w:hAnsi="宋体" w:eastAsia="宋体" w:cs="宋体"/>
          <w:b/>
          <w:color w:val="000000"/>
          <w:sz w:val="36"/>
          <w:szCs w:val="36"/>
        </w:rPr>
        <w:t xml:space="preserve">   日   </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期</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w:t>
      </w:r>
      <w:r>
        <w:rPr>
          <w:rFonts w:hint="eastAsia" w:ascii="宋体" w:hAnsi="宋体" w:eastAsia="宋体" w:cs="宋体"/>
          <w:b/>
          <w:color w:val="000000"/>
          <w:sz w:val="36"/>
          <w:szCs w:val="36"/>
          <w:u w:val="single"/>
        </w:rPr>
        <w:t>        </w:t>
      </w:r>
      <w:r>
        <w:rPr>
          <w:rFonts w:hint="eastAsia" w:ascii="宋体" w:hAnsi="宋体" w:eastAsia="宋体" w:cs="宋体"/>
          <w:b/>
          <w:color w:val="000000"/>
          <w:sz w:val="36"/>
          <w:szCs w:val="36"/>
          <w:u w:val="single"/>
          <w:lang w:val="en-US" w:eastAsia="zh-CN"/>
        </w:rPr>
        <w:t xml:space="preserve">         </w:t>
      </w:r>
    </w:p>
    <w:p w14:paraId="2B46B79A">
      <w:pPr>
        <w:pStyle w:val="81"/>
        <w:spacing w:beforeAutospacing="0" w:afterAutospacing="0"/>
        <w:jc w:val="both"/>
        <w:rPr>
          <w:rFonts w:hint="eastAsia" w:ascii="宋体" w:hAnsi="宋体" w:eastAsia="宋体" w:cs="宋体"/>
          <w:b/>
          <w:color w:val="000000"/>
          <w:sz w:val="36"/>
          <w:szCs w:val="36"/>
          <w:u w:val="single"/>
        </w:rPr>
      </w:pPr>
    </w:p>
    <w:p w14:paraId="06B9F7DE">
      <w:pPr>
        <w:pStyle w:val="81"/>
        <w:spacing w:beforeAutospacing="0" w:afterAutospacing="0"/>
        <w:jc w:val="both"/>
        <w:rPr>
          <w:rFonts w:hint="eastAsia" w:ascii="宋体" w:hAnsi="宋体" w:eastAsia="宋体" w:cs="宋体"/>
          <w:b/>
          <w:color w:val="000000"/>
          <w:sz w:val="36"/>
          <w:szCs w:val="36"/>
          <w:u w:val="single"/>
        </w:rPr>
      </w:pPr>
    </w:p>
    <w:p w14:paraId="191AC68F">
      <w:pPr>
        <w:pStyle w:val="81"/>
        <w:spacing w:beforeAutospacing="0" w:afterAutospacing="0" w:line="0" w:lineRule="atLeast"/>
        <w:jc w:val="both"/>
        <w:rPr>
          <w:rFonts w:hint="eastAsia" w:ascii="宋体" w:hAnsi="宋体" w:eastAsia="宋体" w:cs="宋体"/>
          <w:b/>
          <w:color w:val="000000"/>
          <w:sz w:val="36"/>
          <w:szCs w:val="36"/>
        </w:rPr>
      </w:pPr>
    </w:p>
    <w:p w14:paraId="047F4B60">
      <w:pPr>
        <w:pStyle w:val="81"/>
        <w:spacing w:beforeAutospacing="0" w:afterAutospacing="0" w:line="0" w:lineRule="atLeast"/>
        <w:jc w:val="center"/>
        <w:rPr>
          <w:rFonts w:hint="eastAsia" w:ascii="宋体" w:hAnsi="宋体" w:eastAsia="宋体" w:cs="宋体"/>
          <w:b/>
          <w:color w:val="000000"/>
          <w:sz w:val="28"/>
          <w:szCs w:val="28"/>
        </w:rPr>
      </w:pPr>
      <w:r>
        <w:rPr>
          <w:rFonts w:hint="eastAsia" w:ascii="宋体" w:hAnsi="宋体" w:eastAsia="宋体" w:cs="宋体"/>
          <w:b/>
          <w:color w:val="000000"/>
          <w:sz w:val="36"/>
          <w:szCs w:val="36"/>
          <w:lang w:val="en-US" w:eastAsia="zh-CN"/>
        </w:rPr>
        <w:t>响应</w:t>
      </w:r>
      <w:r>
        <w:rPr>
          <w:rFonts w:hint="eastAsia" w:ascii="宋体" w:hAnsi="宋体" w:eastAsia="宋体" w:cs="宋体"/>
          <w:b/>
          <w:color w:val="000000"/>
          <w:sz w:val="36"/>
          <w:szCs w:val="36"/>
        </w:rPr>
        <w:t>文件目录</w:t>
      </w:r>
    </w:p>
    <w:p w14:paraId="711B7CE8">
      <w:pPr>
        <w:pStyle w:val="81"/>
        <w:spacing w:beforeAutospacing="0" w:afterAutospacing="0" w:line="0" w:lineRule="atLeast"/>
        <w:jc w:val="center"/>
        <w:rPr>
          <w:rFonts w:hint="eastAsia" w:ascii="宋体" w:hAnsi="宋体" w:eastAsia="宋体" w:cs="宋体"/>
          <w:color w:val="000000"/>
        </w:rPr>
      </w:pPr>
      <w:r>
        <w:rPr>
          <w:rFonts w:hint="eastAsia" w:ascii="宋体" w:hAnsi="宋体" w:eastAsia="宋体" w:cs="宋体"/>
          <w:color w:val="000000"/>
        </w:rPr>
        <w:t> </w:t>
      </w:r>
    </w:p>
    <w:p w14:paraId="6D9FB5AF">
      <w:pPr>
        <w:pStyle w:val="29"/>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一、法人或者其他组织的营业执照等证明文件，自然人的身份证明</w:t>
      </w:r>
    </w:p>
    <w:p w14:paraId="58C27AA3">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二、上一年度的财务状况报表（至少提供资产负债表、利润表、现金流量表，协商供应商成立不满一年无需提供）</w:t>
      </w:r>
    </w:p>
    <w:p w14:paraId="78AB3E61">
      <w:pPr>
        <w:pStyle w:val="29"/>
        <w:numPr>
          <w:ilvl w:val="0"/>
          <w:numId w:val="3"/>
        </w:numPr>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14:paraId="30CFC750">
      <w:pPr>
        <w:pStyle w:val="29"/>
        <w:numPr>
          <w:ilvl w:val="0"/>
          <w:numId w:val="0"/>
        </w:numPr>
        <w:spacing w:beforeAutospacing="0" w:afterAutospacing="0"/>
        <w:ind w:firstLine="480" w:firstLineChars="20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40D1366C">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五、参加政府采购活动前 3 年内在经营活动中没有重大违法记录的书面声明</w:t>
      </w:r>
    </w:p>
    <w:p w14:paraId="05135DDB">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六、特定资格要求的证明文件（如果本项目设置特定资格要求，则需要提供）</w:t>
      </w:r>
    </w:p>
    <w:p w14:paraId="65D0C1C9">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七、法人授权书</w:t>
      </w:r>
    </w:p>
    <w:p w14:paraId="6021FB5E">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八、单一来源响应函</w:t>
      </w:r>
    </w:p>
    <w:p w14:paraId="068EFC53">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九</w:t>
      </w:r>
      <w:r>
        <w:rPr>
          <w:rFonts w:hint="eastAsia" w:ascii="宋体" w:hAnsi="宋体" w:eastAsia="宋体" w:cs="宋体"/>
          <w:i w:val="0"/>
          <w:iCs/>
          <w:color w:val="auto"/>
          <w:sz w:val="24"/>
          <w:szCs w:val="24"/>
          <w:highlight w:val="none"/>
          <w:u w:val="none"/>
          <w:shd w:val="clear" w:color="auto" w:fill="auto"/>
        </w:rPr>
        <w:t>、分项报价表</w:t>
      </w:r>
    </w:p>
    <w:p w14:paraId="5702C8F3">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十、技术要求响应及偏离表</w:t>
      </w:r>
    </w:p>
    <w:p w14:paraId="73DA025D">
      <w:pPr>
        <w:pStyle w:val="29"/>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一</w:t>
      </w:r>
      <w:r>
        <w:rPr>
          <w:rFonts w:hint="eastAsia" w:ascii="宋体" w:hAnsi="宋体" w:eastAsia="宋体" w:cs="宋体"/>
          <w:i w:val="0"/>
          <w:iCs/>
          <w:color w:val="auto"/>
          <w:sz w:val="24"/>
          <w:szCs w:val="24"/>
          <w:highlight w:val="none"/>
          <w:u w:val="none"/>
          <w:shd w:val="clear" w:color="auto" w:fill="auto"/>
        </w:rPr>
        <w:t>、商务要求响应及偏离表</w:t>
      </w:r>
    </w:p>
    <w:p w14:paraId="48EFFF5A">
      <w:pPr>
        <w:pStyle w:val="29"/>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kern w:val="0"/>
          <w:sz w:val="24"/>
          <w:szCs w:val="24"/>
          <w:highlight w:val="none"/>
          <w:u w:val="none"/>
          <w:shd w:val="clear" w:color="auto" w:fill="auto"/>
          <w:lang w:val="en-US" w:eastAsia="zh-CN"/>
        </w:rPr>
        <w:t>二</w:t>
      </w:r>
      <w:r>
        <w:rPr>
          <w:rFonts w:hint="eastAsia" w:ascii="宋体" w:hAnsi="宋体" w:eastAsia="宋体" w:cs="宋体"/>
          <w:i w:val="0"/>
          <w:iCs/>
          <w:color w:val="auto"/>
          <w:sz w:val="24"/>
          <w:szCs w:val="24"/>
          <w:highlight w:val="none"/>
          <w:u w:val="none"/>
          <w:shd w:val="clear" w:color="auto" w:fill="auto"/>
        </w:rPr>
        <w:t>、开标一览表</w:t>
      </w:r>
    </w:p>
    <w:p w14:paraId="26065437">
      <w:pPr>
        <w:widowControl/>
        <w:spacing w:before="50" w:after="50"/>
        <w:ind w:firstLine="480" w:firstLineChars="200"/>
        <w:rPr>
          <w:rFonts w:hint="default" w:ascii="宋体" w:hAnsi="宋体" w:eastAsia="宋体" w:cs="宋体"/>
          <w:i w:val="0"/>
          <w:iCs/>
          <w:color w:val="auto"/>
          <w:kern w:val="0"/>
          <w:sz w:val="24"/>
          <w:szCs w:val="24"/>
          <w:highlight w:val="none"/>
          <w:u w:val="none"/>
          <w:shd w:val="clear" w:color="auto" w:fill="auto"/>
          <w:lang w:val="en-US" w:eastAsia="zh-CN"/>
        </w:rPr>
      </w:pPr>
      <w:r>
        <w:rPr>
          <w:rFonts w:hint="eastAsia" w:ascii="宋体" w:hAnsi="宋体" w:eastAsia="宋体" w:cs="宋体"/>
          <w:i w:val="0"/>
          <w:iCs/>
          <w:color w:val="auto"/>
          <w:kern w:val="0"/>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三</w:t>
      </w:r>
      <w:r>
        <w:rPr>
          <w:rFonts w:hint="eastAsia" w:ascii="宋体" w:hAnsi="宋体" w:eastAsia="宋体" w:cs="宋体"/>
          <w:i w:val="0"/>
          <w:iCs/>
          <w:color w:val="auto"/>
          <w:kern w:val="0"/>
          <w:sz w:val="24"/>
          <w:szCs w:val="24"/>
          <w:highlight w:val="none"/>
          <w:u w:val="none"/>
          <w:shd w:val="clear" w:color="auto" w:fill="auto"/>
        </w:rPr>
        <w:t>、技术方案、服务承诺、培训承诺等</w:t>
      </w:r>
      <w:r>
        <w:rPr>
          <w:rFonts w:hint="eastAsia" w:ascii="宋体" w:hAnsi="宋体" w:eastAsia="宋体" w:cs="宋体"/>
          <w:i w:val="0"/>
          <w:iCs/>
          <w:color w:val="auto"/>
          <w:kern w:val="0"/>
          <w:sz w:val="24"/>
          <w:szCs w:val="24"/>
          <w:highlight w:val="none"/>
          <w:u w:val="none"/>
          <w:shd w:val="clear" w:color="auto" w:fill="auto"/>
          <w:lang w:eastAsia="zh-CN"/>
        </w:rPr>
        <w:t>（</w:t>
      </w:r>
      <w:r>
        <w:rPr>
          <w:rFonts w:hint="eastAsia" w:ascii="宋体" w:hAnsi="宋体" w:eastAsia="宋体" w:cs="宋体"/>
          <w:i w:val="0"/>
          <w:iCs/>
          <w:color w:val="auto"/>
          <w:kern w:val="0"/>
          <w:sz w:val="24"/>
          <w:szCs w:val="24"/>
          <w:highlight w:val="none"/>
          <w:u w:val="none"/>
          <w:shd w:val="clear" w:color="auto" w:fill="auto"/>
          <w:lang w:val="en-US" w:eastAsia="zh-CN"/>
        </w:rPr>
        <w:t>如有）</w:t>
      </w:r>
    </w:p>
    <w:p w14:paraId="660B8D16">
      <w:pPr>
        <w:pStyle w:val="29"/>
        <w:spacing w:beforeAutospacing="0" w:afterAutospacing="0" w:line="360" w:lineRule="auto"/>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、盐城市政府采购事前信用承诺书</w:t>
      </w:r>
    </w:p>
    <w:p w14:paraId="494EC6DE">
      <w:pPr>
        <w:pStyle w:val="81"/>
        <w:spacing w:beforeAutospacing="0" w:afterAutospacing="0" w:line="0" w:lineRule="atLeast"/>
        <w:ind w:firstLine="480"/>
        <w:jc w:val="both"/>
        <w:rPr>
          <w:rFonts w:hint="eastAsia" w:ascii="宋体" w:hAnsi="宋体" w:eastAsia="宋体" w:cs="宋体"/>
          <w:i w:val="0"/>
          <w:iCs/>
          <w:color w:val="000000"/>
        </w:rPr>
      </w:pPr>
    </w:p>
    <w:p w14:paraId="45A4E794">
      <w:pPr>
        <w:pStyle w:val="81"/>
        <w:spacing w:beforeAutospacing="0" w:afterAutospacing="0"/>
        <w:jc w:val="both"/>
        <w:rPr>
          <w:rFonts w:hint="eastAsia" w:ascii="宋体" w:hAnsi="宋体" w:eastAsia="宋体" w:cs="宋体"/>
          <w:b/>
          <w:bCs/>
          <w:i w:val="0"/>
          <w:iCs/>
          <w:color w:val="000000"/>
          <w:sz w:val="36"/>
          <w:szCs w:val="36"/>
          <w:u w:val="single"/>
        </w:rPr>
      </w:pPr>
    </w:p>
    <w:p w14:paraId="4B950DE4">
      <w:pPr>
        <w:pStyle w:val="81"/>
        <w:spacing w:beforeAutospacing="0" w:afterAutospacing="0"/>
        <w:jc w:val="both"/>
        <w:rPr>
          <w:rFonts w:hint="eastAsia" w:ascii="宋体" w:hAnsi="宋体" w:eastAsia="宋体" w:cs="宋体"/>
          <w:b/>
          <w:bCs/>
          <w:i/>
          <w:color w:val="000000"/>
          <w:sz w:val="36"/>
          <w:szCs w:val="36"/>
          <w:u w:val="single"/>
        </w:rPr>
      </w:pPr>
    </w:p>
    <w:p w14:paraId="529FFB8B">
      <w:pPr>
        <w:pStyle w:val="81"/>
        <w:spacing w:beforeAutospacing="0" w:afterAutospacing="0"/>
        <w:jc w:val="both"/>
        <w:rPr>
          <w:rFonts w:hint="eastAsia" w:ascii="宋体" w:hAnsi="宋体" w:eastAsia="宋体" w:cs="宋体"/>
          <w:b/>
          <w:bCs/>
          <w:i/>
          <w:color w:val="000000"/>
          <w:sz w:val="36"/>
          <w:szCs w:val="36"/>
          <w:u w:val="single"/>
        </w:rPr>
      </w:pPr>
    </w:p>
    <w:p w14:paraId="6D52FDB6">
      <w:pPr>
        <w:pStyle w:val="81"/>
        <w:spacing w:beforeAutospacing="0" w:afterAutospacing="0"/>
        <w:jc w:val="both"/>
        <w:rPr>
          <w:rFonts w:hint="eastAsia" w:ascii="宋体" w:hAnsi="宋体" w:eastAsia="宋体" w:cs="宋体"/>
          <w:b/>
          <w:bCs/>
          <w:i/>
          <w:color w:val="000000"/>
          <w:sz w:val="36"/>
          <w:szCs w:val="36"/>
          <w:u w:val="single"/>
        </w:rPr>
      </w:pPr>
    </w:p>
    <w:p w14:paraId="17610ACC">
      <w:pPr>
        <w:pStyle w:val="81"/>
        <w:spacing w:beforeAutospacing="0" w:afterAutospacing="0"/>
        <w:jc w:val="both"/>
        <w:rPr>
          <w:rFonts w:hint="eastAsia" w:ascii="宋体" w:hAnsi="宋体" w:eastAsia="宋体" w:cs="宋体"/>
          <w:b/>
          <w:bCs/>
          <w:i/>
          <w:color w:val="000000"/>
          <w:sz w:val="36"/>
          <w:szCs w:val="36"/>
          <w:u w:val="single"/>
        </w:rPr>
      </w:pPr>
    </w:p>
    <w:p w14:paraId="53219A8B">
      <w:pPr>
        <w:pStyle w:val="81"/>
        <w:spacing w:beforeAutospacing="0" w:afterAutospacing="0"/>
        <w:jc w:val="both"/>
        <w:rPr>
          <w:rFonts w:hint="eastAsia" w:ascii="宋体" w:hAnsi="宋体" w:eastAsia="宋体" w:cs="宋体"/>
          <w:b/>
          <w:bCs/>
          <w:i/>
          <w:color w:val="000000"/>
          <w:sz w:val="36"/>
          <w:szCs w:val="36"/>
          <w:u w:val="single"/>
        </w:rPr>
      </w:pPr>
    </w:p>
    <w:p w14:paraId="5F176389">
      <w:pPr>
        <w:pStyle w:val="81"/>
        <w:spacing w:beforeAutospacing="0" w:afterAutospacing="0"/>
        <w:jc w:val="both"/>
        <w:rPr>
          <w:rFonts w:hint="eastAsia" w:ascii="宋体" w:hAnsi="宋体" w:eastAsia="宋体" w:cs="宋体"/>
          <w:b/>
          <w:bCs/>
          <w:i/>
          <w:color w:val="000000"/>
          <w:sz w:val="36"/>
          <w:szCs w:val="36"/>
          <w:u w:val="single"/>
        </w:rPr>
      </w:pPr>
    </w:p>
    <w:p w14:paraId="28F4ECE9">
      <w:pPr>
        <w:pStyle w:val="81"/>
        <w:spacing w:beforeAutospacing="0" w:afterAutospacing="0"/>
        <w:jc w:val="both"/>
        <w:rPr>
          <w:rFonts w:hint="eastAsia" w:ascii="宋体" w:hAnsi="宋体" w:eastAsia="宋体" w:cs="宋体"/>
          <w:b/>
          <w:bCs/>
          <w:i/>
          <w:color w:val="000000"/>
          <w:sz w:val="36"/>
          <w:szCs w:val="36"/>
          <w:u w:val="single"/>
        </w:rPr>
      </w:pPr>
    </w:p>
    <w:p w14:paraId="3C342DCB">
      <w:pPr>
        <w:pStyle w:val="81"/>
        <w:spacing w:beforeAutospacing="0" w:afterAutospacing="0"/>
        <w:jc w:val="both"/>
        <w:rPr>
          <w:rFonts w:hint="eastAsia" w:ascii="宋体" w:hAnsi="宋体" w:eastAsia="宋体" w:cs="宋体"/>
          <w:b/>
          <w:bCs/>
          <w:i/>
          <w:color w:val="000000"/>
          <w:sz w:val="36"/>
          <w:szCs w:val="36"/>
          <w:u w:val="single"/>
        </w:rPr>
      </w:pPr>
    </w:p>
    <w:p w14:paraId="78FBD066">
      <w:pPr>
        <w:rPr>
          <w:rFonts w:hint="eastAsia" w:ascii="宋体" w:hAnsi="宋体" w:eastAsia="宋体" w:cs="宋体"/>
          <w:b/>
          <w:bCs/>
          <w:i w:val="0"/>
          <w:iCs/>
          <w:color w:val="000000"/>
          <w:sz w:val="36"/>
          <w:szCs w:val="36"/>
          <w:u w:val="none"/>
        </w:rPr>
      </w:pPr>
      <w:r>
        <w:rPr>
          <w:rFonts w:hint="eastAsia" w:ascii="宋体" w:hAnsi="宋体" w:eastAsia="宋体" w:cs="宋体"/>
          <w:b/>
          <w:bCs/>
          <w:i w:val="0"/>
          <w:iCs/>
          <w:color w:val="000000"/>
          <w:sz w:val="36"/>
          <w:szCs w:val="36"/>
          <w:u w:val="none"/>
        </w:rPr>
        <w:br w:type="page"/>
      </w:r>
    </w:p>
    <w:bookmarkEnd w:id="6"/>
    <w:bookmarkEnd w:id="44"/>
    <w:bookmarkEnd w:id="91"/>
    <w:bookmarkEnd w:id="92"/>
    <w:bookmarkEnd w:id="93"/>
    <w:bookmarkEnd w:id="94"/>
    <w:bookmarkEnd w:id="95"/>
    <w:bookmarkEnd w:id="96"/>
    <w:bookmarkEnd w:id="97"/>
    <w:bookmarkEnd w:id="98"/>
    <w:bookmarkEnd w:id="107"/>
    <w:bookmarkEnd w:id="108"/>
    <w:bookmarkEnd w:id="115"/>
    <w:bookmarkEnd w:id="159"/>
    <w:bookmarkEnd w:id="160"/>
    <w:bookmarkEnd w:id="161"/>
    <w:bookmarkEnd w:id="170"/>
    <w:bookmarkEnd w:id="171"/>
    <w:bookmarkEnd w:id="172"/>
    <w:p w14:paraId="0A7DF962">
      <w:pPr>
        <w:pStyle w:val="2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6C1FB9BB">
      <w:pPr>
        <w:pStyle w:val="29"/>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5633A11">
      <w:pPr>
        <w:pStyle w:val="29"/>
        <w:spacing w:beforeAutospacing="0" w:afterAutospacing="0"/>
        <w:jc w:val="both"/>
        <w:rPr>
          <w:rFonts w:eastAsia="黑体"/>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二、上一年度的财务状况报表</w:t>
      </w:r>
    </w:p>
    <w:p w14:paraId="5729AF18">
      <w:pPr>
        <w:pStyle w:val="29"/>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供应商成立不满一年无需提供</w:t>
      </w:r>
    </w:p>
    <w:p w14:paraId="70746FB8">
      <w:pPr>
        <w:pStyle w:val="29"/>
        <w:spacing w:beforeAutospacing="0" w:afterAutospacing="0"/>
        <w:jc w:val="both"/>
        <w:rPr>
          <w:color w:val="auto"/>
          <w:highlight w:val="none"/>
          <w:shd w:val="clear" w:color="auto" w:fill="auto"/>
        </w:rPr>
      </w:pPr>
      <w:r>
        <w:rPr>
          <w:color w:val="auto"/>
          <w:highlight w:val="none"/>
          <w:shd w:val="clear" w:color="auto" w:fill="auto"/>
        </w:rPr>
        <w:t> </w:t>
      </w:r>
    </w:p>
    <w:p w14:paraId="15163BAB">
      <w:pPr>
        <w:pStyle w:val="2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05361B29">
      <w:pPr>
        <w:pStyle w:val="29"/>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35036A43">
      <w:pPr>
        <w:pStyle w:val="29"/>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0D44093">
      <w:pPr>
        <w:pStyle w:val="29"/>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3A59290E">
      <w:pPr>
        <w:pStyle w:val="29"/>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2EF7B5E3">
      <w:pPr>
        <w:pStyle w:val="29"/>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207958E">
      <w:pPr>
        <w:pStyle w:val="29"/>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2EE3E3C5">
      <w:pPr>
        <w:pStyle w:val="2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8CFE9DC">
      <w:pPr>
        <w:pStyle w:val="29"/>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52428515">
      <w:pPr>
        <w:pStyle w:val="29"/>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09B6BC46">
      <w:pPr>
        <w:pStyle w:val="29"/>
        <w:spacing w:beforeAutospacing="0" w:afterAutospacing="0"/>
        <w:jc w:val="both"/>
        <w:rPr>
          <w:color w:val="auto"/>
          <w:highlight w:val="none"/>
          <w:shd w:val="clear" w:color="auto" w:fill="auto"/>
        </w:rPr>
      </w:pPr>
      <w:r>
        <w:rPr>
          <w:color w:val="auto"/>
          <w:highlight w:val="none"/>
          <w:shd w:val="clear" w:color="auto" w:fill="auto"/>
        </w:rPr>
        <w:t> </w:t>
      </w:r>
    </w:p>
    <w:p w14:paraId="3A9909F6">
      <w:pPr>
        <w:pStyle w:val="2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55BF7A10">
      <w:pPr>
        <w:pStyle w:val="29"/>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32C3D819">
      <w:pPr>
        <w:pStyle w:val="29"/>
        <w:spacing w:beforeAutospacing="0" w:afterAutospacing="0"/>
        <w:jc w:val="center"/>
        <w:rPr>
          <w:rFonts w:ascii="黑体" w:hAnsi="宋体" w:eastAsia="黑体" w:cs="黑体"/>
          <w:i/>
          <w:color w:val="auto"/>
          <w:sz w:val="32"/>
          <w:szCs w:val="32"/>
          <w:highlight w:val="none"/>
          <w:u w:val="single"/>
          <w:shd w:val="clear" w:color="auto" w:fill="auto"/>
        </w:rPr>
      </w:pPr>
      <w:bookmarkStart w:id="173" w:name="_Toc120614284"/>
    </w:p>
    <w:p w14:paraId="06370E4E">
      <w:pPr>
        <w:pStyle w:val="29"/>
        <w:spacing w:beforeAutospacing="0" w:afterAutospacing="0"/>
        <w:jc w:val="center"/>
        <w:rPr>
          <w:rFonts w:ascii="黑体" w:hAnsi="宋体" w:eastAsia="黑体" w:cs="黑体"/>
          <w:i/>
          <w:color w:val="auto"/>
          <w:sz w:val="32"/>
          <w:szCs w:val="32"/>
          <w:highlight w:val="none"/>
          <w:u w:val="single"/>
          <w:shd w:val="clear" w:color="auto" w:fill="auto"/>
        </w:rPr>
      </w:pPr>
    </w:p>
    <w:p w14:paraId="5A64D353">
      <w:pPr>
        <w:pStyle w:val="29"/>
        <w:spacing w:beforeAutospacing="0" w:afterAutospacing="0"/>
        <w:jc w:val="center"/>
        <w:rPr>
          <w:rFonts w:ascii="黑体" w:hAnsi="宋体" w:eastAsia="黑体" w:cs="黑体"/>
          <w:i/>
          <w:color w:val="auto"/>
          <w:sz w:val="32"/>
          <w:szCs w:val="32"/>
          <w:highlight w:val="none"/>
          <w:u w:val="single"/>
          <w:shd w:val="clear" w:color="auto" w:fill="auto"/>
        </w:rPr>
      </w:pPr>
    </w:p>
    <w:p w14:paraId="1A6BB0B3">
      <w:pPr>
        <w:pStyle w:val="29"/>
        <w:spacing w:beforeAutospacing="0" w:afterAutospacing="0"/>
        <w:jc w:val="center"/>
        <w:rPr>
          <w:rFonts w:ascii="黑体" w:hAnsi="宋体" w:eastAsia="黑体" w:cs="黑体"/>
          <w:i/>
          <w:color w:val="auto"/>
          <w:sz w:val="32"/>
          <w:szCs w:val="32"/>
          <w:highlight w:val="none"/>
          <w:u w:val="single"/>
          <w:shd w:val="clear" w:color="auto" w:fill="auto"/>
        </w:rPr>
      </w:pPr>
    </w:p>
    <w:p w14:paraId="099605DA">
      <w:pPr>
        <w:pStyle w:val="29"/>
        <w:spacing w:beforeAutospacing="0" w:afterAutospacing="0"/>
        <w:jc w:val="both"/>
        <w:rPr>
          <w:rFonts w:hint="eastAsia" w:ascii="黑体" w:hAnsi="宋体" w:eastAsia="黑体" w:cs="黑体"/>
          <w:i/>
          <w:color w:val="auto"/>
          <w:sz w:val="32"/>
          <w:szCs w:val="32"/>
          <w:highlight w:val="none"/>
          <w:u w:val="single"/>
          <w:shd w:val="clear" w:color="auto" w:fill="auto"/>
        </w:rPr>
      </w:pPr>
    </w:p>
    <w:p w14:paraId="1B485EB9">
      <w:pPr>
        <w:pStyle w:val="29"/>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50F47055">
      <w:pPr>
        <w:pStyle w:val="29"/>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3CE5C6DA">
      <w:pPr>
        <w:pStyle w:val="29"/>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0B42111E">
      <w:pPr>
        <w:pStyle w:val="29"/>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被授权人身份证号码：</w:t>
      </w:r>
      <w:r>
        <w:rPr>
          <w:rFonts w:ascii="Times New Roman" w:hAnsi="Times New Roman"/>
          <w:color w:val="auto"/>
          <w:highlight w:val="none"/>
          <w:u w:val="single"/>
          <w:shd w:val="clear" w:color="auto" w:fill="auto"/>
        </w:rPr>
        <w:t xml:space="preserve">                              </w:t>
      </w:r>
    </w:p>
    <w:p w14:paraId="2E652ACF">
      <w:pPr>
        <w:pStyle w:val="29"/>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被授权人联系电话：（手机）</w:t>
      </w:r>
      <w:r>
        <w:rPr>
          <w:rFonts w:ascii="Times New Roman" w:hAnsi="Times New Roman"/>
          <w:color w:val="auto"/>
          <w:highlight w:val="none"/>
          <w:u w:val="single"/>
          <w:shd w:val="clear" w:color="auto" w:fill="auto"/>
        </w:rPr>
        <w:t xml:space="preserve">                          </w:t>
      </w:r>
    </w:p>
    <w:p w14:paraId="6B68B321">
      <w:pPr>
        <w:pStyle w:val="29"/>
        <w:tabs>
          <w:tab w:val="left" w:pos="360"/>
        </w:tabs>
        <w:spacing w:beforeAutospacing="0" w:afterAutospacing="0"/>
        <w:jc w:val="both"/>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2D85A0A9">
      <w:pPr>
        <w:pStyle w:val="29"/>
        <w:tabs>
          <w:tab w:val="left" w:pos="360"/>
        </w:tabs>
        <w:spacing w:beforeAutospacing="0" w:afterAutospacing="0"/>
        <w:jc w:val="both"/>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4626E4F2">
      <w:pPr>
        <w:pStyle w:val="29"/>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日期：</w:t>
      </w:r>
      <w:bookmarkStart w:id="174" w:name="_格式3__银行出具的资信证明"/>
      <w:bookmarkStart w:id="175" w:name="_Hlt26955070"/>
      <w:bookmarkStart w:id="176" w:name="_Hlt26671380"/>
      <w:r>
        <w:rPr>
          <w:rFonts w:ascii="Times New Roman" w:hAnsi="Times New Roman"/>
          <w:color w:val="auto"/>
          <w:highlight w:val="none"/>
          <w:u w:val="single"/>
          <w:shd w:val="clear" w:color="auto" w:fill="auto"/>
        </w:rPr>
        <w:t xml:space="preserve">                                         </w:t>
      </w:r>
    </w:p>
    <w:p w14:paraId="17A5C0FE">
      <w:pPr>
        <w:pStyle w:val="29"/>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416CDA70">
      <w:pPr>
        <w:pStyle w:val="29"/>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F38E6A0">
      <w:pPr>
        <w:pStyle w:val="29"/>
        <w:spacing w:beforeAutospacing="0" w:afterAutospacing="0"/>
        <w:ind w:firstLine="420"/>
        <w:jc w:val="both"/>
        <w:rPr>
          <w:color w:val="auto"/>
          <w:highlight w:val="none"/>
          <w:shd w:val="clear" w:color="auto" w:fill="auto"/>
        </w:rPr>
      </w:pPr>
      <w:r>
        <w:rPr>
          <w:color w:val="auto"/>
          <w:highlight w:val="none"/>
          <w:shd w:val="clear" w:color="auto" w:fill="auto"/>
        </w:rPr>
        <w:t> </w:t>
      </w:r>
    </w:p>
    <w:p w14:paraId="7CB4E8F3">
      <w:pPr>
        <w:pStyle w:val="29"/>
        <w:spacing w:beforeAutospacing="0" w:afterAutospacing="0"/>
        <w:jc w:val="both"/>
        <w:rPr>
          <w:color w:val="auto"/>
          <w:highlight w:val="none"/>
          <w:shd w:val="clear" w:color="auto" w:fill="auto"/>
        </w:rPr>
      </w:pPr>
      <w:r>
        <w:rPr>
          <w:color w:val="auto"/>
          <w:highlight w:val="none"/>
          <w:shd w:val="clear" w:color="auto" w:fill="auto"/>
        </w:rPr>
        <w:t> </w:t>
      </w:r>
    </w:p>
    <w:p w14:paraId="64F4B9F4">
      <w:pPr>
        <w:pStyle w:val="29"/>
        <w:keepNext/>
        <w:keepLines/>
        <w:spacing w:before="260" w:beforeAutospacing="0" w:after="260" w:afterAutospacing="0" w:line="415" w:lineRule="auto"/>
        <w:jc w:val="center"/>
        <w:rPr>
          <w:color w:val="auto"/>
          <w:highlight w:val="none"/>
          <w:shd w:val="clear" w:color="auto" w:fill="auto"/>
        </w:rPr>
      </w:pPr>
      <w:r>
        <w:rPr>
          <w:rFonts w:hint="eastAsia" w:ascii="宋体" w:hAnsi="宋体" w:eastAsia="宋体" w:cs="宋体"/>
          <w:b/>
          <w:color w:val="auto"/>
          <w:highlight w:val="none"/>
          <w:shd w:val="clear" w:color="auto" w:fill="auto"/>
        </w:rPr>
        <w:br w:type="page"/>
      </w:r>
      <w:r>
        <w:rPr>
          <w:rFonts w:hint="eastAsia" w:ascii="黑体" w:hAnsi="宋体" w:eastAsia="黑体" w:cs="黑体"/>
          <w:b/>
          <w:i/>
          <w:color w:val="auto"/>
          <w:sz w:val="32"/>
          <w:szCs w:val="32"/>
          <w:highlight w:val="none"/>
          <w:u w:val="single"/>
          <w:shd w:val="clear" w:color="auto" w:fill="auto"/>
        </w:rPr>
        <w:t>八、单一来源响应函</w:t>
      </w:r>
    </w:p>
    <w:p w14:paraId="0754FABC">
      <w:pPr>
        <w:pStyle w:val="29"/>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eastAsia="zh-CN"/>
        </w:rPr>
        <w:t>中共盐城市大丰区委宣传部</w:t>
      </w:r>
    </w:p>
    <w:p w14:paraId="4DDD7305">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rPr>
        <w:t>号采购文件，正式授权下述签字人______(姓名)代表我方______________（供应商的名称），全权处理本次项目单一来源采购的有关事宜。</w:t>
      </w:r>
    </w:p>
    <w:p w14:paraId="750B62A6">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51A9882D">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14:paraId="32CF4307">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14:paraId="5D760BC9">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14:paraId="00ADFBD0">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14:paraId="0A1B9346">
      <w:pPr>
        <w:pStyle w:val="2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14:paraId="06C6999B">
      <w:pPr>
        <w:pStyle w:val="29"/>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14:paraId="7114CE10">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1007A9C1">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279822A8">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3159E062">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395440CD">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323C550E">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35F146AA">
      <w:pPr>
        <w:pStyle w:val="2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期：________年____月____日</w:t>
      </w:r>
    </w:p>
    <w:p w14:paraId="493D6EB5">
      <w:pPr>
        <w:pStyle w:val="2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70767FF">
      <w:pPr>
        <w:pStyle w:val="2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F7B56F6">
      <w:pPr>
        <w:pStyle w:val="2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9E2430A">
      <w:pPr>
        <w:pStyle w:val="2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13A93C8">
      <w:pPr>
        <w:pStyle w:val="2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130516D">
      <w:pPr>
        <w:pStyle w:val="29"/>
        <w:spacing w:beforeAutospacing="0" w:afterAutospacing="0" w:line="0" w:lineRule="atLeast"/>
        <w:ind w:firstLine="240"/>
        <w:jc w:val="center"/>
        <w:rPr>
          <w:color w:val="auto"/>
          <w:highlight w:val="none"/>
          <w:shd w:val="clear" w:color="auto" w:fill="auto"/>
        </w:rPr>
      </w:pPr>
    </w:p>
    <w:p w14:paraId="68356722">
      <w:pPr>
        <w:pStyle w:val="29"/>
        <w:spacing w:beforeAutospacing="0" w:afterAutospacing="0" w:line="0" w:lineRule="atLeast"/>
        <w:ind w:firstLine="240"/>
        <w:jc w:val="center"/>
        <w:rPr>
          <w:color w:val="auto"/>
          <w:highlight w:val="none"/>
          <w:shd w:val="clear" w:color="auto" w:fill="auto"/>
        </w:rPr>
      </w:pPr>
    </w:p>
    <w:p w14:paraId="2351A6CF">
      <w:pPr>
        <w:pStyle w:val="29"/>
        <w:spacing w:beforeAutospacing="0" w:afterAutospacing="0" w:line="0" w:lineRule="atLeast"/>
        <w:ind w:firstLine="240"/>
        <w:jc w:val="center"/>
        <w:rPr>
          <w:color w:val="auto"/>
          <w:highlight w:val="none"/>
          <w:shd w:val="clear" w:color="auto" w:fill="auto"/>
        </w:rPr>
      </w:pPr>
    </w:p>
    <w:p w14:paraId="6BEB82FD">
      <w:pPr>
        <w:pStyle w:val="29"/>
        <w:spacing w:beforeAutospacing="0" w:afterAutospacing="0" w:line="0" w:lineRule="atLeast"/>
        <w:ind w:firstLine="240"/>
        <w:jc w:val="center"/>
        <w:rPr>
          <w:color w:val="auto"/>
          <w:highlight w:val="none"/>
          <w:shd w:val="clear" w:color="auto" w:fill="auto"/>
        </w:rPr>
      </w:pPr>
    </w:p>
    <w:p w14:paraId="5190670B">
      <w:pPr>
        <w:pStyle w:val="29"/>
        <w:spacing w:beforeAutospacing="0" w:afterAutospacing="0" w:line="0" w:lineRule="atLeast"/>
        <w:ind w:firstLine="240"/>
        <w:jc w:val="center"/>
        <w:rPr>
          <w:color w:val="auto"/>
          <w:highlight w:val="none"/>
          <w:shd w:val="clear" w:color="auto" w:fill="auto"/>
        </w:rPr>
      </w:pPr>
    </w:p>
    <w:p w14:paraId="16F644C0">
      <w:pPr>
        <w:pStyle w:val="29"/>
        <w:spacing w:beforeAutospacing="0" w:afterAutospacing="0" w:line="0" w:lineRule="atLeast"/>
        <w:ind w:firstLine="240"/>
        <w:jc w:val="center"/>
        <w:rPr>
          <w:color w:val="auto"/>
          <w:highlight w:val="none"/>
          <w:shd w:val="clear" w:color="auto" w:fill="auto"/>
        </w:rPr>
      </w:pPr>
    </w:p>
    <w:p w14:paraId="0A84A71E">
      <w:pPr>
        <w:pStyle w:val="29"/>
        <w:spacing w:beforeAutospacing="0" w:afterAutospacing="0" w:line="0" w:lineRule="atLeast"/>
        <w:ind w:firstLine="240"/>
        <w:jc w:val="center"/>
        <w:rPr>
          <w:color w:val="auto"/>
          <w:highlight w:val="none"/>
          <w:shd w:val="clear" w:color="auto" w:fill="auto"/>
        </w:rPr>
      </w:pPr>
    </w:p>
    <w:p w14:paraId="7837EC39">
      <w:pPr>
        <w:pStyle w:val="29"/>
        <w:spacing w:beforeAutospacing="0" w:afterAutospacing="0" w:line="0" w:lineRule="atLeast"/>
        <w:ind w:firstLine="240"/>
        <w:jc w:val="center"/>
        <w:rPr>
          <w:color w:val="auto"/>
          <w:highlight w:val="none"/>
          <w:shd w:val="clear" w:color="auto" w:fill="auto"/>
        </w:rPr>
      </w:pPr>
    </w:p>
    <w:p w14:paraId="2B75EBBE">
      <w:pPr>
        <w:pStyle w:val="29"/>
        <w:spacing w:beforeAutospacing="0" w:afterAutospacing="0" w:line="0" w:lineRule="atLeast"/>
        <w:ind w:firstLine="240"/>
        <w:jc w:val="center"/>
        <w:rPr>
          <w:color w:val="auto"/>
          <w:highlight w:val="none"/>
          <w:shd w:val="clear" w:color="auto" w:fill="auto"/>
        </w:rPr>
      </w:pPr>
    </w:p>
    <w:p w14:paraId="3F2B7780">
      <w:pPr>
        <w:pStyle w:val="29"/>
        <w:spacing w:beforeAutospacing="0" w:afterAutospacing="0" w:line="0" w:lineRule="atLeast"/>
        <w:ind w:firstLine="240"/>
        <w:jc w:val="center"/>
        <w:rPr>
          <w:color w:val="auto"/>
          <w:highlight w:val="none"/>
          <w:shd w:val="clear" w:color="auto" w:fill="auto"/>
        </w:rPr>
      </w:pPr>
    </w:p>
    <w:p w14:paraId="3A6ECA03">
      <w:pPr>
        <w:pStyle w:val="29"/>
        <w:spacing w:beforeAutospacing="0" w:afterAutospacing="0" w:line="0" w:lineRule="atLeast"/>
        <w:ind w:firstLine="240"/>
        <w:jc w:val="center"/>
        <w:rPr>
          <w:color w:val="auto"/>
          <w:highlight w:val="none"/>
          <w:shd w:val="clear" w:color="auto" w:fill="auto"/>
        </w:rPr>
      </w:pPr>
    </w:p>
    <w:p w14:paraId="38578DDA">
      <w:pPr>
        <w:pStyle w:val="29"/>
        <w:spacing w:beforeAutospacing="0" w:afterAutospacing="0" w:line="0" w:lineRule="atLeast"/>
        <w:ind w:firstLine="240"/>
        <w:jc w:val="center"/>
        <w:rPr>
          <w:color w:val="auto"/>
          <w:highlight w:val="none"/>
          <w:shd w:val="clear" w:color="auto" w:fill="auto"/>
        </w:rPr>
      </w:pPr>
    </w:p>
    <w:p w14:paraId="110C0E16">
      <w:pPr>
        <w:pStyle w:val="29"/>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2DD11784">
      <w:pPr>
        <w:jc w:val="center"/>
        <w:rPr>
          <w:rFonts w:hint="eastAsia" w:ascii="黑体" w:hAnsi="黑体" w:eastAsia="黑体" w:cs="黑体"/>
          <w:color w:val="auto"/>
          <w:sz w:val="32"/>
          <w:szCs w:val="32"/>
          <w:highlight w:val="none"/>
          <w:shd w:val="clear" w:color="auto" w:fill="auto"/>
        </w:rPr>
      </w:pPr>
      <w:r>
        <w:rPr>
          <w:rFonts w:hint="eastAsia" w:ascii="黑体" w:hAnsi="黑体" w:eastAsia="黑体" w:cs="黑体"/>
          <w:b/>
          <w:color w:val="auto"/>
          <w:sz w:val="32"/>
          <w:szCs w:val="32"/>
          <w:highlight w:val="none"/>
          <w:shd w:val="clear" w:color="auto" w:fill="auto"/>
          <w:lang w:val="en-US" w:eastAsia="zh-CN"/>
        </w:rPr>
        <w:t>九</w:t>
      </w:r>
      <w:r>
        <w:rPr>
          <w:rFonts w:hint="eastAsia" w:ascii="黑体" w:hAnsi="黑体" w:eastAsia="黑体" w:cs="黑体"/>
          <w:b/>
          <w:color w:val="auto"/>
          <w:sz w:val="32"/>
          <w:szCs w:val="32"/>
          <w:highlight w:val="none"/>
          <w:shd w:val="clear" w:color="auto" w:fill="auto"/>
        </w:rPr>
        <w:t>、分项报价表</w:t>
      </w:r>
    </w:p>
    <w:tbl>
      <w:tblPr>
        <w:tblStyle w:val="32"/>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2D79BF3D">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83017">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BFEE">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DE91">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82CA">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710E">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3BA4">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5FE0">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6</w:t>
            </w:r>
          </w:p>
        </w:tc>
      </w:tr>
      <w:tr w14:paraId="4188400A">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96979">
            <w:pPr>
              <w:rPr>
                <w:rFonts w:ascii="宋体"/>
                <w:color w:val="auto"/>
                <w:sz w:val="24"/>
                <w:highlight w:val="none"/>
                <w:shd w:val="clear" w:color="auto" w:fill="auto"/>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EFA3">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EFAC">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lang w:val="en-US" w:eastAsia="zh-CN"/>
              </w:rPr>
              <w:t>服务</w:t>
            </w:r>
            <w:r>
              <w:rPr>
                <w:rFonts w:hint="eastAsia" w:ascii="宋体" w:hAnsi="宋体" w:eastAsia="宋体" w:cs="宋体"/>
                <w:color w:val="auto"/>
                <w:highlight w:val="none"/>
                <w:shd w:val="clear" w:color="auto" w:fill="auto"/>
              </w:rPr>
              <w:t>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9BD98">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D46A">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23E8">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w:t>
            </w:r>
          </w:p>
          <w:p w14:paraId="6D069718">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3D24">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w:t>
            </w:r>
          </w:p>
          <w:p w14:paraId="56252699">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总价</w:t>
            </w:r>
          </w:p>
        </w:tc>
      </w:tr>
      <w:tr w14:paraId="2C4EA49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B343">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E366">
            <w:pPr>
              <w:pStyle w:val="29"/>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AAE5">
            <w:pPr>
              <w:pStyle w:val="29"/>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87AE">
            <w:pPr>
              <w:pStyle w:val="29"/>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7DE5">
            <w:pPr>
              <w:pStyle w:val="29"/>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3A74">
            <w:pPr>
              <w:pStyle w:val="29"/>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0136">
            <w:pPr>
              <w:pStyle w:val="29"/>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4E8C2F75">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23650B">
            <w:pPr>
              <w:pStyle w:val="29"/>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33E5">
            <w:pPr>
              <w:pStyle w:val="29"/>
              <w:spacing w:beforeAutospacing="0" w:afterAutospacing="0" w:line="0" w:lineRule="atLeast"/>
              <w:jc w:val="both"/>
              <w:rPr>
                <w:color w:val="auto"/>
                <w:highlight w:val="none"/>
                <w:shd w:val="clear" w:color="auto" w:fill="auto"/>
              </w:rPr>
            </w:pPr>
            <w:r>
              <w:rPr>
                <w:color w:val="auto"/>
                <w:highlight w:val="none"/>
                <w:shd w:val="clear" w:color="auto" w:fill="auto"/>
              </w:rPr>
              <w:t> </w:t>
            </w:r>
          </w:p>
        </w:tc>
      </w:tr>
    </w:tbl>
    <w:p w14:paraId="19240D15">
      <w:pPr>
        <w:pStyle w:val="29"/>
        <w:spacing w:beforeAutospacing="0" w:afterAutospacing="0"/>
        <w:jc w:val="both"/>
        <w:rPr>
          <w:color w:val="auto"/>
          <w:highlight w:val="none"/>
          <w:shd w:val="clear" w:color="auto" w:fill="auto"/>
        </w:rPr>
      </w:pPr>
    </w:p>
    <w:p w14:paraId="1245E393">
      <w:pPr>
        <w:pStyle w:val="29"/>
        <w:spacing w:beforeAutospacing="0" w:afterAutospacing="0"/>
        <w:jc w:val="both"/>
        <w:rPr>
          <w:color w:val="auto"/>
          <w:highlight w:val="none"/>
          <w:shd w:val="clear" w:color="auto" w:fill="auto"/>
        </w:rPr>
      </w:pPr>
      <w:r>
        <w:rPr>
          <w:color w:val="auto"/>
          <w:highlight w:val="none"/>
          <w:shd w:val="clear" w:color="auto" w:fill="auto"/>
        </w:rPr>
        <w:t> </w:t>
      </w:r>
      <w:r>
        <w:rPr>
          <w:rFonts w:hint="eastAsia" w:ascii="宋体" w:hAnsi="宋体" w:eastAsia="宋体" w:cs="宋体"/>
          <w:color w:val="auto"/>
          <w:highlight w:val="none"/>
          <w:shd w:val="clear" w:color="auto" w:fill="auto"/>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其他所有</w:t>
      </w:r>
      <w:r>
        <w:rPr>
          <w:rFonts w:hint="eastAsia" w:ascii="宋体" w:hAnsi="宋体" w:eastAsia="宋体" w:cs="宋体"/>
          <w:color w:val="auto"/>
          <w:highlight w:val="none"/>
          <w:shd w:val="clear" w:color="auto" w:fill="auto"/>
        </w:rPr>
        <w:t>费用。</w:t>
      </w:r>
    </w:p>
    <w:p w14:paraId="7B627942">
      <w:pPr>
        <w:pStyle w:val="29"/>
        <w:spacing w:beforeAutospacing="0" w:afterAutospacing="0"/>
        <w:jc w:val="both"/>
        <w:rPr>
          <w:color w:val="auto"/>
          <w:highlight w:val="none"/>
          <w:shd w:val="clear" w:color="auto" w:fill="auto"/>
        </w:rPr>
      </w:pPr>
    </w:p>
    <w:p w14:paraId="1A95BC6A">
      <w:pPr>
        <w:pStyle w:val="29"/>
        <w:spacing w:beforeAutospacing="0" w:afterAutospacing="0"/>
        <w:jc w:val="both"/>
        <w:rPr>
          <w:color w:val="auto"/>
          <w:highlight w:val="none"/>
          <w:shd w:val="clear" w:color="auto" w:fill="auto"/>
        </w:rPr>
      </w:pPr>
      <w:r>
        <w:rPr>
          <w:color w:val="auto"/>
          <w:highlight w:val="none"/>
          <w:shd w:val="clear" w:color="auto" w:fill="auto"/>
        </w:rPr>
        <w:t> </w:t>
      </w:r>
    </w:p>
    <w:p w14:paraId="0A1EADF2">
      <w:pPr>
        <w:pStyle w:val="29"/>
        <w:spacing w:beforeAutospacing="0" w:afterAutospacing="0"/>
        <w:jc w:val="both"/>
        <w:rPr>
          <w:color w:val="auto"/>
          <w:highlight w:val="none"/>
          <w:shd w:val="clear" w:color="auto" w:fill="auto"/>
        </w:rPr>
      </w:pPr>
      <w:r>
        <w:rPr>
          <w:color w:val="auto"/>
          <w:highlight w:val="none"/>
          <w:shd w:val="clear" w:color="auto" w:fill="auto"/>
        </w:rPr>
        <w:t> </w:t>
      </w:r>
    </w:p>
    <w:p w14:paraId="68A9DA8A">
      <w:pPr>
        <w:pStyle w:val="29"/>
        <w:spacing w:beforeAutospacing="0" w:afterAutospacing="0"/>
        <w:jc w:val="both"/>
        <w:rPr>
          <w:color w:val="auto"/>
          <w:highlight w:val="none"/>
          <w:shd w:val="clear" w:color="auto" w:fill="auto"/>
        </w:rPr>
      </w:pPr>
    </w:p>
    <w:p w14:paraId="60078F81">
      <w:pPr>
        <w:pStyle w:val="29"/>
        <w:spacing w:beforeAutospacing="0" w:afterAutospacing="0"/>
        <w:jc w:val="both"/>
        <w:rPr>
          <w:color w:val="auto"/>
          <w:highlight w:val="none"/>
          <w:shd w:val="clear" w:color="auto" w:fill="auto"/>
        </w:rPr>
      </w:pPr>
    </w:p>
    <w:p w14:paraId="2FFCABFE">
      <w:pPr>
        <w:pStyle w:val="29"/>
        <w:spacing w:beforeAutospacing="0" w:afterAutospacing="0"/>
        <w:jc w:val="both"/>
        <w:rPr>
          <w:color w:val="auto"/>
          <w:highlight w:val="none"/>
          <w:shd w:val="clear" w:color="auto" w:fill="auto"/>
        </w:rPr>
      </w:pPr>
    </w:p>
    <w:p w14:paraId="4624FEC5">
      <w:pPr>
        <w:pStyle w:val="29"/>
        <w:spacing w:beforeAutospacing="0" w:afterAutospacing="0"/>
        <w:jc w:val="both"/>
        <w:rPr>
          <w:color w:val="auto"/>
          <w:highlight w:val="none"/>
          <w:shd w:val="clear" w:color="auto" w:fill="auto"/>
        </w:rPr>
      </w:pPr>
    </w:p>
    <w:p w14:paraId="76E84D78">
      <w:pPr>
        <w:pStyle w:val="29"/>
        <w:spacing w:beforeAutospacing="0" w:afterAutospacing="0"/>
        <w:jc w:val="both"/>
        <w:rPr>
          <w:color w:val="auto"/>
          <w:highlight w:val="none"/>
          <w:shd w:val="clear" w:color="auto" w:fill="auto"/>
        </w:rPr>
      </w:pPr>
    </w:p>
    <w:p w14:paraId="3B5C6617">
      <w:pPr>
        <w:pStyle w:val="29"/>
        <w:spacing w:beforeAutospacing="0" w:afterAutospacing="0"/>
        <w:jc w:val="both"/>
        <w:rPr>
          <w:color w:val="auto"/>
          <w:highlight w:val="none"/>
          <w:shd w:val="clear" w:color="auto" w:fill="auto"/>
        </w:rPr>
      </w:pPr>
    </w:p>
    <w:p w14:paraId="4BC4ECDB">
      <w:pPr>
        <w:pStyle w:val="29"/>
        <w:spacing w:beforeAutospacing="0" w:afterAutospacing="0"/>
        <w:jc w:val="both"/>
        <w:rPr>
          <w:color w:val="auto"/>
          <w:highlight w:val="none"/>
          <w:shd w:val="clear" w:color="auto" w:fill="auto"/>
        </w:rPr>
      </w:pPr>
    </w:p>
    <w:p w14:paraId="352E4135">
      <w:pPr>
        <w:pStyle w:val="29"/>
        <w:spacing w:beforeAutospacing="0" w:afterAutospacing="0"/>
        <w:jc w:val="both"/>
        <w:rPr>
          <w:color w:val="auto"/>
          <w:highlight w:val="none"/>
          <w:shd w:val="clear" w:color="auto" w:fill="auto"/>
        </w:rPr>
      </w:pPr>
    </w:p>
    <w:p w14:paraId="63FD9A3C">
      <w:pPr>
        <w:pStyle w:val="29"/>
        <w:spacing w:beforeAutospacing="0" w:afterAutospacing="0"/>
        <w:jc w:val="both"/>
        <w:rPr>
          <w:color w:val="auto"/>
          <w:highlight w:val="none"/>
          <w:shd w:val="clear" w:color="auto" w:fill="auto"/>
        </w:rPr>
      </w:pPr>
    </w:p>
    <w:p w14:paraId="6382C960">
      <w:pPr>
        <w:pStyle w:val="29"/>
        <w:spacing w:beforeAutospacing="0" w:afterAutospacing="0"/>
        <w:jc w:val="both"/>
        <w:rPr>
          <w:color w:val="auto"/>
          <w:highlight w:val="none"/>
          <w:shd w:val="clear" w:color="auto" w:fill="auto"/>
        </w:rPr>
      </w:pPr>
    </w:p>
    <w:p w14:paraId="40814B10">
      <w:pPr>
        <w:pStyle w:val="29"/>
        <w:spacing w:beforeAutospacing="0" w:afterAutospacing="0"/>
        <w:jc w:val="both"/>
        <w:rPr>
          <w:color w:val="auto"/>
          <w:highlight w:val="none"/>
          <w:shd w:val="clear" w:color="auto" w:fill="auto"/>
        </w:rPr>
      </w:pPr>
    </w:p>
    <w:p w14:paraId="103C507E">
      <w:pPr>
        <w:pStyle w:val="29"/>
        <w:spacing w:beforeAutospacing="0" w:afterAutospacing="0"/>
        <w:jc w:val="both"/>
        <w:rPr>
          <w:color w:val="auto"/>
          <w:highlight w:val="none"/>
          <w:shd w:val="clear" w:color="auto" w:fill="auto"/>
        </w:rPr>
      </w:pPr>
      <w:r>
        <w:rPr>
          <w:color w:val="auto"/>
          <w:highlight w:val="none"/>
          <w:shd w:val="clear" w:color="auto" w:fill="auto"/>
        </w:rPr>
        <w:t> </w:t>
      </w:r>
    </w:p>
    <w:p w14:paraId="07805BDE">
      <w:pPr>
        <w:pStyle w:val="29"/>
        <w:spacing w:beforeAutospacing="0" w:afterAutospacing="0"/>
        <w:jc w:val="both"/>
        <w:rPr>
          <w:color w:val="auto"/>
          <w:highlight w:val="none"/>
          <w:shd w:val="clear" w:color="auto" w:fill="auto"/>
        </w:rPr>
      </w:pPr>
      <w:r>
        <w:rPr>
          <w:color w:val="auto"/>
          <w:highlight w:val="none"/>
          <w:shd w:val="clear" w:color="auto" w:fill="auto"/>
        </w:rPr>
        <w:t> </w:t>
      </w:r>
    </w:p>
    <w:p w14:paraId="7BF409E5">
      <w:pPr>
        <w:pStyle w:val="29"/>
        <w:spacing w:beforeAutospacing="0" w:afterAutospacing="0"/>
        <w:jc w:val="both"/>
        <w:rPr>
          <w:color w:val="auto"/>
          <w:highlight w:val="none"/>
          <w:shd w:val="clear" w:color="auto" w:fill="auto"/>
        </w:rPr>
      </w:pPr>
      <w:r>
        <w:rPr>
          <w:color w:val="auto"/>
          <w:highlight w:val="none"/>
          <w:shd w:val="clear" w:color="auto" w:fill="auto"/>
        </w:rPr>
        <w:t> </w:t>
      </w:r>
    </w:p>
    <w:p w14:paraId="317540BC">
      <w:pPr>
        <w:pStyle w:val="29"/>
        <w:spacing w:beforeAutospacing="0" w:afterAutospacing="0"/>
        <w:jc w:val="both"/>
        <w:rPr>
          <w:color w:val="auto"/>
          <w:highlight w:val="none"/>
          <w:shd w:val="clear" w:color="auto" w:fill="auto"/>
        </w:rPr>
      </w:pPr>
    </w:p>
    <w:p w14:paraId="56879662">
      <w:pPr>
        <w:pStyle w:val="29"/>
        <w:spacing w:beforeAutospacing="0" w:afterAutospacing="0"/>
        <w:jc w:val="both"/>
        <w:rPr>
          <w:color w:val="auto"/>
          <w:highlight w:val="none"/>
          <w:shd w:val="clear" w:color="auto" w:fill="auto"/>
        </w:rPr>
      </w:pPr>
    </w:p>
    <w:p w14:paraId="4757F40B">
      <w:pPr>
        <w:pStyle w:val="29"/>
        <w:spacing w:beforeAutospacing="0" w:afterAutospacing="0"/>
        <w:jc w:val="both"/>
        <w:rPr>
          <w:color w:val="auto"/>
          <w:highlight w:val="none"/>
          <w:shd w:val="clear" w:color="auto" w:fill="auto"/>
        </w:rPr>
      </w:pPr>
      <w:r>
        <w:rPr>
          <w:color w:val="auto"/>
          <w:highlight w:val="none"/>
          <w:shd w:val="clear" w:color="auto" w:fill="auto"/>
        </w:rPr>
        <w:t> </w:t>
      </w:r>
    </w:p>
    <w:p w14:paraId="42FDC859">
      <w:pPr>
        <w:pStyle w:val="29"/>
        <w:spacing w:beforeAutospacing="0" w:afterAutospacing="0"/>
        <w:jc w:val="center"/>
        <w:rPr>
          <w:rFonts w:hint="eastAsia" w:ascii="黑体" w:hAnsi="宋体" w:eastAsia="黑体" w:cs="黑体"/>
          <w:b/>
          <w:color w:val="auto"/>
          <w:sz w:val="32"/>
          <w:szCs w:val="32"/>
          <w:highlight w:val="none"/>
          <w:shd w:val="clear" w:color="auto" w:fill="auto"/>
        </w:rPr>
      </w:pPr>
    </w:p>
    <w:p w14:paraId="162456B6">
      <w:pPr>
        <w:pStyle w:val="29"/>
        <w:spacing w:beforeAutospacing="0" w:afterAutospacing="0"/>
        <w:jc w:val="center"/>
        <w:rPr>
          <w:rFonts w:hint="eastAsia" w:ascii="黑体" w:hAnsi="宋体" w:eastAsia="黑体" w:cs="黑体"/>
          <w:b/>
          <w:color w:val="auto"/>
          <w:sz w:val="32"/>
          <w:szCs w:val="32"/>
          <w:highlight w:val="none"/>
          <w:shd w:val="clear" w:color="auto" w:fill="auto"/>
        </w:rPr>
        <w:sectPr>
          <w:footerReference r:id="rId3" w:type="default"/>
          <w:pgSz w:w="11906" w:h="16838"/>
          <w:pgMar w:top="1440" w:right="1800" w:bottom="1440" w:left="1800" w:header="851" w:footer="992" w:gutter="0"/>
          <w:pgNumType w:fmt="numberInDash" w:start="1"/>
          <w:cols w:space="425" w:num="1"/>
          <w:docGrid w:type="lines" w:linePitch="312" w:charSpace="0"/>
        </w:sectPr>
      </w:pPr>
    </w:p>
    <w:p w14:paraId="76B37431">
      <w:pPr>
        <w:pStyle w:val="29"/>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十、技术要求响应及偏离表（分包号：**）</w:t>
      </w:r>
    </w:p>
    <w:tbl>
      <w:tblPr>
        <w:tblStyle w:val="32"/>
        <w:tblW w:w="8520" w:type="dxa"/>
        <w:jc w:val="center"/>
        <w:tblCellSpacing w:w="0" w:type="dxa"/>
        <w:tblLayout w:type="fixed"/>
        <w:tblCellMar>
          <w:top w:w="0" w:type="dxa"/>
          <w:left w:w="108" w:type="dxa"/>
          <w:bottom w:w="0" w:type="dxa"/>
          <w:right w:w="108" w:type="dxa"/>
        </w:tblCellMar>
      </w:tblPr>
      <w:tblGrid>
        <w:gridCol w:w="795"/>
        <w:gridCol w:w="2769"/>
        <w:gridCol w:w="2608"/>
        <w:gridCol w:w="1247"/>
        <w:gridCol w:w="1101"/>
      </w:tblGrid>
      <w:tr w14:paraId="28C4C837">
        <w:tblPrEx>
          <w:tblCellMar>
            <w:top w:w="0" w:type="dxa"/>
            <w:left w:w="108" w:type="dxa"/>
            <w:bottom w:w="0" w:type="dxa"/>
            <w:right w:w="108" w:type="dxa"/>
          </w:tblCellMar>
        </w:tblPrEx>
        <w:trPr>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5817C">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ECDD">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FA72">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B155">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4736">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179105D5">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10F872E5">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CE8A">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1B3D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77A3">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BB04">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B6D2">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6918863D">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CC225">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566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2E21">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EDB9">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3359">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7B34B841">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1CFD">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AAB8">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706C">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059C">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F32A">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7111130D">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DEB2">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A26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C291">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A826">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518AE">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7261C6A8">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BBA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3518">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DB85">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3398">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D22C">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4620E5DE">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5B6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776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B7F8">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9614">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B71F">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4A2F4298">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A4C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63FD">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1D95">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8F05">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2482">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292BCF35">
        <w:tblPrEx>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5CF6">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9EE0">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EBF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0D62D">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1229">
            <w:pPr>
              <w:pStyle w:val="29"/>
              <w:spacing w:beforeAutospacing="0" w:afterAutospacing="0"/>
              <w:jc w:val="center"/>
              <w:rPr>
                <w:color w:val="auto"/>
                <w:highlight w:val="none"/>
                <w:shd w:val="clear" w:color="auto" w:fill="auto"/>
              </w:rPr>
            </w:pPr>
            <w:r>
              <w:rPr>
                <w:color w:val="auto"/>
                <w:highlight w:val="none"/>
                <w:shd w:val="clear" w:color="auto" w:fill="auto"/>
              </w:rPr>
              <w:t> </w:t>
            </w:r>
          </w:p>
        </w:tc>
      </w:tr>
    </w:tbl>
    <w:p w14:paraId="2A290A19">
      <w:pPr>
        <w:pStyle w:val="29"/>
        <w:spacing w:beforeAutospacing="0" w:afterAutospacing="0"/>
        <w:ind w:firstLine="720" w:firstLineChars="300"/>
        <w:jc w:val="both"/>
        <w:rPr>
          <w:color w:val="auto"/>
          <w:highlight w:val="none"/>
          <w:shd w:val="clear" w:color="auto" w:fill="auto"/>
        </w:rPr>
      </w:pPr>
      <w:r>
        <w:rPr>
          <w:rFonts w:hint="eastAsia" w:ascii="宋体" w:hAnsi="宋体" w:eastAsia="宋体" w:cs="宋体"/>
          <w:color w:val="auto"/>
          <w:highlight w:val="none"/>
          <w:shd w:val="clear" w:color="auto" w:fill="auto"/>
        </w:rPr>
        <w:t>注：行数不够，可自行添加。</w:t>
      </w:r>
    </w:p>
    <w:p w14:paraId="2AD2B7CF">
      <w:pPr>
        <w:pStyle w:val="29"/>
        <w:spacing w:beforeAutospacing="0" w:afterAutospacing="0"/>
        <w:jc w:val="center"/>
        <w:rPr>
          <w:color w:val="auto"/>
          <w:highlight w:val="none"/>
          <w:shd w:val="clear" w:color="auto" w:fill="auto"/>
        </w:rPr>
      </w:pPr>
      <w:r>
        <w:rPr>
          <w:color w:val="auto"/>
          <w:highlight w:val="none"/>
          <w:shd w:val="clear" w:color="auto" w:fill="auto"/>
        </w:rPr>
        <w:t> </w:t>
      </w:r>
    </w:p>
    <w:p w14:paraId="1BF1192E">
      <w:pPr>
        <w:pStyle w:val="29"/>
        <w:spacing w:beforeAutospacing="0" w:afterAutospacing="0"/>
        <w:jc w:val="center"/>
        <w:rPr>
          <w:color w:val="auto"/>
          <w:highlight w:val="none"/>
          <w:shd w:val="clear" w:color="auto" w:fill="auto"/>
        </w:rPr>
      </w:pPr>
      <w:r>
        <w:rPr>
          <w:color w:val="auto"/>
          <w:highlight w:val="none"/>
          <w:shd w:val="clear" w:color="auto" w:fill="auto"/>
        </w:rPr>
        <w:t> </w:t>
      </w:r>
    </w:p>
    <w:p w14:paraId="363A5076">
      <w:pPr>
        <w:pStyle w:val="29"/>
        <w:spacing w:beforeAutospacing="0" w:afterAutospacing="0"/>
        <w:jc w:val="center"/>
        <w:rPr>
          <w:color w:val="auto"/>
          <w:highlight w:val="none"/>
          <w:shd w:val="clear" w:color="auto" w:fill="auto"/>
        </w:rPr>
      </w:pPr>
      <w:r>
        <w:rPr>
          <w:color w:val="auto"/>
          <w:highlight w:val="none"/>
          <w:shd w:val="clear" w:color="auto" w:fill="auto"/>
        </w:rPr>
        <w:t> </w:t>
      </w:r>
    </w:p>
    <w:p w14:paraId="736DEFBA">
      <w:pPr>
        <w:pStyle w:val="29"/>
        <w:spacing w:beforeAutospacing="0" w:afterAutospacing="0"/>
        <w:jc w:val="center"/>
        <w:rPr>
          <w:color w:val="auto"/>
          <w:highlight w:val="none"/>
          <w:shd w:val="clear" w:color="auto" w:fill="auto"/>
        </w:rPr>
      </w:pPr>
      <w:r>
        <w:rPr>
          <w:color w:val="auto"/>
          <w:highlight w:val="none"/>
          <w:shd w:val="clear" w:color="auto" w:fill="auto"/>
        </w:rPr>
        <w:t> </w:t>
      </w:r>
    </w:p>
    <w:p w14:paraId="1A1C906B">
      <w:pPr>
        <w:pStyle w:val="29"/>
        <w:spacing w:beforeAutospacing="0" w:afterAutospacing="0"/>
        <w:jc w:val="both"/>
        <w:rPr>
          <w:color w:val="auto"/>
          <w:highlight w:val="none"/>
          <w:shd w:val="clear" w:color="auto" w:fill="auto"/>
        </w:rPr>
      </w:pPr>
      <w:r>
        <w:rPr>
          <w:color w:val="auto"/>
          <w:highlight w:val="none"/>
          <w:shd w:val="clear" w:color="auto" w:fill="auto"/>
        </w:rPr>
        <w:t> </w:t>
      </w:r>
    </w:p>
    <w:p w14:paraId="3E37D36C">
      <w:pPr>
        <w:pStyle w:val="29"/>
        <w:spacing w:beforeAutospacing="0" w:afterAutospacing="0"/>
        <w:jc w:val="both"/>
        <w:rPr>
          <w:color w:val="auto"/>
          <w:highlight w:val="none"/>
          <w:shd w:val="clear" w:color="auto" w:fill="auto"/>
        </w:rPr>
      </w:pPr>
      <w:r>
        <w:rPr>
          <w:color w:val="auto"/>
          <w:highlight w:val="none"/>
          <w:shd w:val="clear" w:color="auto" w:fill="auto"/>
        </w:rPr>
        <w:t> </w:t>
      </w:r>
    </w:p>
    <w:p w14:paraId="01A84D73">
      <w:pPr>
        <w:pStyle w:val="29"/>
        <w:spacing w:beforeAutospacing="0" w:afterAutospacing="0"/>
        <w:jc w:val="both"/>
        <w:rPr>
          <w:color w:val="auto"/>
          <w:highlight w:val="none"/>
          <w:shd w:val="clear" w:color="auto" w:fill="auto"/>
        </w:rPr>
      </w:pPr>
      <w:r>
        <w:rPr>
          <w:color w:val="auto"/>
          <w:highlight w:val="none"/>
          <w:shd w:val="clear" w:color="auto" w:fill="auto"/>
        </w:rPr>
        <w:t> </w:t>
      </w:r>
    </w:p>
    <w:p w14:paraId="290C0D11">
      <w:pPr>
        <w:pStyle w:val="29"/>
        <w:spacing w:beforeAutospacing="0" w:afterAutospacing="0"/>
        <w:jc w:val="both"/>
        <w:rPr>
          <w:color w:val="auto"/>
          <w:highlight w:val="none"/>
          <w:shd w:val="clear" w:color="auto" w:fill="auto"/>
        </w:rPr>
      </w:pPr>
      <w:r>
        <w:rPr>
          <w:color w:val="auto"/>
          <w:highlight w:val="none"/>
          <w:shd w:val="clear" w:color="auto" w:fill="auto"/>
        </w:rPr>
        <w:t> </w:t>
      </w:r>
    </w:p>
    <w:p w14:paraId="15FBE0CB">
      <w:pPr>
        <w:pStyle w:val="29"/>
        <w:spacing w:beforeAutospacing="0" w:afterAutospacing="0"/>
        <w:jc w:val="both"/>
        <w:rPr>
          <w:color w:val="auto"/>
          <w:highlight w:val="none"/>
          <w:shd w:val="clear" w:color="auto" w:fill="auto"/>
        </w:rPr>
      </w:pPr>
      <w:r>
        <w:rPr>
          <w:color w:val="auto"/>
          <w:highlight w:val="none"/>
          <w:shd w:val="clear" w:color="auto" w:fill="auto"/>
        </w:rPr>
        <w:t> </w:t>
      </w:r>
    </w:p>
    <w:p w14:paraId="1C96C186">
      <w:pPr>
        <w:pStyle w:val="29"/>
        <w:spacing w:beforeAutospacing="0" w:afterAutospacing="0"/>
        <w:jc w:val="both"/>
        <w:rPr>
          <w:color w:val="auto"/>
          <w:highlight w:val="none"/>
          <w:shd w:val="clear" w:color="auto" w:fill="auto"/>
        </w:rPr>
      </w:pPr>
    </w:p>
    <w:p w14:paraId="140A417C">
      <w:pPr>
        <w:pStyle w:val="29"/>
        <w:spacing w:beforeAutospacing="0" w:afterAutospacing="0"/>
        <w:jc w:val="both"/>
        <w:rPr>
          <w:color w:val="auto"/>
          <w:highlight w:val="none"/>
          <w:shd w:val="clear" w:color="auto" w:fill="auto"/>
        </w:rPr>
      </w:pPr>
    </w:p>
    <w:p w14:paraId="6DAED705">
      <w:pPr>
        <w:pStyle w:val="29"/>
        <w:spacing w:beforeAutospacing="0" w:afterAutospacing="0"/>
        <w:jc w:val="both"/>
        <w:rPr>
          <w:color w:val="auto"/>
          <w:highlight w:val="none"/>
          <w:shd w:val="clear" w:color="auto" w:fill="auto"/>
        </w:rPr>
      </w:pPr>
    </w:p>
    <w:p w14:paraId="16FC2DD2">
      <w:pPr>
        <w:pStyle w:val="29"/>
        <w:spacing w:beforeAutospacing="0" w:afterAutospacing="0"/>
        <w:jc w:val="both"/>
        <w:rPr>
          <w:color w:val="auto"/>
          <w:highlight w:val="none"/>
          <w:shd w:val="clear" w:color="auto" w:fill="auto"/>
        </w:rPr>
      </w:pPr>
    </w:p>
    <w:p w14:paraId="782D4ADA">
      <w:pPr>
        <w:pStyle w:val="29"/>
        <w:spacing w:beforeAutospacing="0" w:afterAutospacing="0"/>
        <w:jc w:val="both"/>
        <w:rPr>
          <w:color w:val="auto"/>
          <w:highlight w:val="none"/>
          <w:shd w:val="clear" w:color="auto" w:fill="auto"/>
        </w:rPr>
      </w:pPr>
    </w:p>
    <w:p w14:paraId="2C891B72">
      <w:pPr>
        <w:pStyle w:val="29"/>
        <w:spacing w:beforeAutospacing="0" w:afterAutospacing="0"/>
        <w:jc w:val="both"/>
        <w:rPr>
          <w:color w:val="auto"/>
          <w:highlight w:val="none"/>
          <w:shd w:val="clear" w:color="auto" w:fill="auto"/>
        </w:rPr>
      </w:pPr>
    </w:p>
    <w:p w14:paraId="4876823F">
      <w:pPr>
        <w:pStyle w:val="29"/>
        <w:spacing w:beforeAutospacing="0" w:afterAutospacing="0"/>
        <w:jc w:val="both"/>
        <w:rPr>
          <w:color w:val="auto"/>
          <w:highlight w:val="none"/>
          <w:shd w:val="clear" w:color="auto" w:fill="auto"/>
        </w:rPr>
      </w:pPr>
    </w:p>
    <w:p w14:paraId="4979448A">
      <w:pPr>
        <w:pStyle w:val="29"/>
        <w:spacing w:beforeAutospacing="0" w:afterAutospacing="0"/>
        <w:jc w:val="both"/>
        <w:rPr>
          <w:color w:val="auto"/>
          <w:highlight w:val="none"/>
          <w:shd w:val="clear" w:color="auto" w:fill="auto"/>
        </w:rPr>
      </w:pPr>
    </w:p>
    <w:p w14:paraId="29C35BF4">
      <w:pPr>
        <w:pStyle w:val="29"/>
        <w:spacing w:beforeAutospacing="0" w:afterAutospacing="0"/>
        <w:jc w:val="both"/>
        <w:rPr>
          <w:color w:val="auto"/>
          <w:highlight w:val="none"/>
          <w:shd w:val="clear" w:color="auto" w:fill="auto"/>
        </w:rPr>
      </w:pPr>
    </w:p>
    <w:p w14:paraId="4AFABEFA">
      <w:pPr>
        <w:pStyle w:val="29"/>
        <w:spacing w:beforeAutospacing="0" w:afterAutospacing="0"/>
        <w:jc w:val="both"/>
        <w:rPr>
          <w:color w:val="auto"/>
          <w:highlight w:val="none"/>
          <w:shd w:val="clear" w:color="auto" w:fill="auto"/>
        </w:rPr>
      </w:pPr>
    </w:p>
    <w:p w14:paraId="667AB33A">
      <w:pPr>
        <w:pStyle w:val="29"/>
        <w:spacing w:beforeAutospacing="0" w:afterAutospacing="0"/>
        <w:jc w:val="both"/>
        <w:rPr>
          <w:color w:val="auto"/>
          <w:highlight w:val="none"/>
          <w:shd w:val="clear" w:color="auto" w:fill="auto"/>
        </w:rPr>
      </w:pPr>
      <w:r>
        <w:rPr>
          <w:color w:val="auto"/>
          <w:highlight w:val="none"/>
          <w:shd w:val="clear" w:color="auto" w:fill="auto"/>
        </w:rPr>
        <w:t> </w:t>
      </w:r>
    </w:p>
    <w:p w14:paraId="45995873">
      <w:pPr>
        <w:pStyle w:val="29"/>
        <w:spacing w:beforeAutospacing="0" w:afterAutospacing="0"/>
        <w:jc w:val="both"/>
        <w:rPr>
          <w:color w:val="auto"/>
          <w:highlight w:val="none"/>
          <w:shd w:val="clear" w:color="auto" w:fill="auto"/>
        </w:rPr>
      </w:pPr>
      <w:r>
        <w:rPr>
          <w:color w:val="auto"/>
          <w:highlight w:val="none"/>
          <w:shd w:val="clear" w:color="auto" w:fill="auto"/>
        </w:rPr>
        <w:t> </w:t>
      </w:r>
    </w:p>
    <w:p w14:paraId="7111E37B">
      <w:pPr>
        <w:pStyle w:val="29"/>
        <w:spacing w:beforeAutospacing="0" w:afterAutospacing="0"/>
        <w:jc w:val="both"/>
        <w:rPr>
          <w:color w:val="auto"/>
          <w:highlight w:val="none"/>
          <w:shd w:val="clear" w:color="auto" w:fill="auto"/>
        </w:rPr>
      </w:pPr>
      <w:r>
        <w:rPr>
          <w:color w:val="auto"/>
          <w:highlight w:val="none"/>
          <w:shd w:val="clear" w:color="auto" w:fill="auto"/>
        </w:rPr>
        <w:t> </w:t>
      </w:r>
      <w:bookmarkStart w:id="177" w:name="_Hlt26955054"/>
    </w:p>
    <w:p w14:paraId="38CB7062">
      <w:pPr>
        <w:pStyle w:val="29"/>
        <w:spacing w:beforeAutospacing="0" w:afterAutospacing="0"/>
        <w:jc w:val="both"/>
        <w:rPr>
          <w:color w:val="auto"/>
          <w:highlight w:val="none"/>
          <w:shd w:val="clear" w:color="auto" w:fill="auto"/>
        </w:rPr>
      </w:pPr>
    </w:p>
    <w:p w14:paraId="0AA81778">
      <w:pPr>
        <w:pStyle w:val="29"/>
        <w:spacing w:beforeAutospacing="0" w:afterAutospacing="0"/>
        <w:jc w:val="both"/>
        <w:rPr>
          <w:color w:val="auto"/>
          <w:highlight w:val="none"/>
          <w:shd w:val="clear" w:color="auto" w:fill="auto"/>
        </w:rPr>
      </w:pPr>
    </w:p>
    <w:p w14:paraId="6ED2111B">
      <w:pPr>
        <w:pStyle w:val="29"/>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一</w:t>
      </w:r>
      <w:r>
        <w:rPr>
          <w:rFonts w:hint="eastAsia" w:ascii="黑体" w:hAnsi="宋体" w:eastAsia="黑体" w:cs="黑体"/>
          <w:b/>
          <w:color w:val="auto"/>
          <w:sz w:val="32"/>
          <w:szCs w:val="32"/>
          <w:highlight w:val="none"/>
          <w:shd w:val="clear" w:color="auto" w:fill="auto"/>
        </w:rPr>
        <w:t>、商务要求响应及偏离表（分包号：**）</w:t>
      </w:r>
    </w:p>
    <w:tbl>
      <w:tblPr>
        <w:tblStyle w:val="32"/>
        <w:tblW w:w="8520" w:type="dxa"/>
        <w:jc w:val="center"/>
        <w:tblCellSpacing w:w="0" w:type="dxa"/>
        <w:tblLayout w:type="fixed"/>
        <w:tblCellMar>
          <w:top w:w="0" w:type="dxa"/>
          <w:left w:w="108" w:type="dxa"/>
          <w:bottom w:w="0" w:type="dxa"/>
          <w:right w:w="108" w:type="dxa"/>
        </w:tblCellMar>
      </w:tblPr>
      <w:tblGrid>
        <w:gridCol w:w="763"/>
        <w:gridCol w:w="2801"/>
        <w:gridCol w:w="2608"/>
        <w:gridCol w:w="1247"/>
        <w:gridCol w:w="1101"/>
      </w:tblGrid>
      <w:tr w14:paraId="7AC6C9C4">
        <w:tblPrEx>
          <w:tblCellMar>
            <w:top w:w="0" w:type="dxa"/>
            <w:left w:w="108" w:type="dxa"/>
            <w:bottom w:w="0" w:type="dxa"/>
            <w:right w:w="108" w:type="dxa"/>
          </w:tblCellMar>
        </w:tblPrEx>
        <w:trPr>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CCCA">
            <w:pPr>
              <w:pStyle w:val="29"/>
              <w:spacing w:beforeAutospacing="0" w:afterAutospacing="0"/>
              <w:jc w:val="center"/>
              <w:rPr>
                <w:color w:val="auto"/>
                <w:highlight w:val="none"/>
                <w:shd w:val="clear" w:color="auto" w:fill="auto"/>
              </w:rPr>
            </w:pPr>
            <w:bookmarkStart w:id="178" w:name="_Hlt26609391"/>
            <w:bookmarkStart w:id="179" w:name="_Hlt26955056"/>
            <w:bookmarkStart w:id="180" w:name="_Hlt26671343"/>
            <w:bookmarkStart w:id="181" w:name="_Hlt26671372"/>
            <w:bookmarkStart w:id="182" w:name="_Hlt26955064"/>
            <w:bookmarkStart w:id="183" w:name="_Hlt26580838"/>
            <w:bookmarkStart w:id="184" w:name="_Hlt24879081"/>
            <w:bookmarkStart w:id="185" w:name="_Hlt26782999"/>
            <w:r>
              <w:rPr>
                <w:rFonts w:hint="eastAsia" w:ascii="宋体" w:hAnsi="宋体" w:eastAsia="宋体" w:cs="宋体"/>
                <w:color w:val="auto"/>
                <w:highlight w:val="none"/>
                <w:shd w:val="clear" w:color="auto" w:fill="auto"/>
              </w:rPr>
              <w:t>序号</w:t>
            </w:r>
          </w:p>
          <w:bookmarkEnd w:id="178"/>
          <w:bookmarkEnd w:id="179"/>
          <w:bookmarkEnd w:id="180"/>
          <w:bookmarkEnd w:id="181"/>
          <w:bookmarkEnd w:id="182"/>
          <w:bookmarkEnd w:id="183"/>
          <w:bookmarkEnd w:id="184"/>
          <w:bookmarkEnd w:id="185"/>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570B">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AEBF">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CFD1">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B040">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952A00D">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2EA5A43A">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A4AE">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8CA6">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DFC1">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284A">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0679">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419B7BEB">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C276">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01F68">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467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9D7C">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6908">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260773BA">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CB91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88D0">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21B3">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04C6">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7F6B">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28E8FCB7">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5093">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CB9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FA3C">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1A4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76F3">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5336B540">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D855">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7AD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1959">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EA7C">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778E">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070DF0AD">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0F12">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E31F">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84C3">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01BA">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4620">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4879B883">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73CE">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8080">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1C57">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CF9B">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8E9D">
            <w:pPr>
              <w:pStyle w:val="29"/>
              <w:spacing w:beforeAutospacing="0" w:afterAutospacing="0"/>
              <w:jc w:val="center"/>
              <w:rPr>
                <w:color w:val="auto"/>
                <w:highlight w:val="none"/>
                <w:shd w:val="clear" w:color="auto" w:fill="auto"/>
              </w:rPr>
            </w:pPr>
            <w:r>
              <w:rPr>
                <w:color w:val="auto"/>
                <w:highlight w:val="none"/>
                <w:shd w:val="clear" w:color="auto" w:fill="auto"/>
              </w:rPr>
              <w:t> </w:t>
            </w:r>
          </w:p>
        </w:tc>
      </w:tr>
      <w:tr w14:paraId="0B07DACE">
        <w:tblPrEx>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965C">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9077F">
            <w:pPr>
              <w:pStyle w:val="2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D8D3">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995E">
            <w:pPr>
              <w:pStyle w:val="2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337F">
            <w:pPr>
              <w:pStyle w:val="29"/>
              <w:spacing w:beforeAutospacing="0" w:afterAutospacing="0"/>
              <w:jc w:val="center"/>
              <w:rPr>
                <w:color w:val="auto"/>
                <w:highlight w:val="none"/>
                <w:shd w:val="clear" w:color="auto" w:fill="auto"/>
              </w:rPr>
            </w:pPr>
            <w:r>
              <w:rPr>
                <w:color w:val="auto"/>
                <w:highlight w:val="none"/>
                <w:shd w:val="clear" w:color="auto" w:fill="auto"/>
              </w:rPr>
              <w:t> </w:t>
            </w:r>
          </w:p>
        </w:tc>
      </w:tr>
    </w:tbl>
    <w:p w14:paraId="14D3BEDB">
      <w:pPr>
        <w:pStyle w:val="29"/>
        <w:spacing w:beforeAutospacing="0" w:afterAutospacing="0"/>
        <w:ind w:firstLine="720" w:firstLineChars="300"/>
        <w:jc w:val="both"/>
        <w:rPr>
          <w:color w:val="auto"/>
          <w:highlight w:val="none"/>
          <w:shd w:val="clear" w:color="auto" w:fill="auto"/>
        </w:rPr>
      </w:pPr>
      <w:r>
        <w:rPr>
          <w:rFonts w:hint="eastAsia" w:ascii="宋体" w:hAnsi="宋体" w:eastAsia="宋体" w:cs="宋体"/>
          <w:color w:val="auto"/>
          <w:highlight w:val="none"/>
          <w:shd w:val="clear" w:color="auto" w:fill="auto"/>
        </w:rPr>
        <w:t>注：行数不够，可自行添加。</w:t>
      </w:r>
    </w:p>
    <w:p w14:paraId="499239A1">
      <w:pPr>
        <w:pStyle w:val="29"/>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16504A24">
      <w:pPr>
        <w:pStyle w:val="29"/>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313F2033">
      <w:pPr>
        <w:pStyle w:val="29"/>
        <w:spacing w:beforeAutospacing="0" w:afterAutospacing="0" w:line="480" w:lineRule="auto"/>
        <w:jc w:val="both"/>
        <w:rPr>
          <w:color w:val="auto"/>
          <w:highlight w:val="none"/>
          <w:shd w:val="clear" w:color="auto" w:fill="auto"/>
        </w:rPr>
      </w:pPr>
    </w:p>
    <w:p w14:paraId="6CA93AE1">
      <w:pPr>
        <w:pStyle w:val="29"/>
        <w:spacing w:beforeAutospacing="0" w:afterAutospacing="0" w:line="480" w:lineRule="auto"/>
        <w:jc w:val="both"/>
        <w:rPr>
          <w:color w:val="auto"/>
          <w:highlight w:val="none"/>
          <w:shd w:val="clear" w:color="auto" w:fill="auto"/>
        </w:rPr>
      </w:pPr>
    </w:p>
    <w:p w14:paraId="25667210">
      <w:pPr>
        <w:pStyle w:val="29"/>
        <w:spacing w:beforeAutospacing="0" w:afterAutospacing="0" w:line="480" w:lineRule="auto"/>
        <w:jc w:val="both"/>
        <w:rPr>
          <w:color w:val="auto"/>
          <w:highlight w:val="none"/>
          <w:shd w:val="clear" w:color="auto" w:fill="auto"/>
        </w:rPr>
      </w:pPr>
    </w:p>
    <w:p w14:paraId="7E551F55">
      <w:pPr>
        <w:pStyle w:val="29"/>
        <w:spacing w:beforeAutospacing="0" w:afterAutospacing="0" w:line="480" w:lineRule="auto"/>
        <w:jc w:val="both"/>
        <w:rPr>
          <w:color w:val="auto"/>
          <w:highlight w:val="none"/>
          <w:shd w:val="clear" w:color="auto" w:fill="auto"/>
        </w:rPr>
      </w:pPr>
    </w:p>
    <w:p w14:paraId="44C8A2FE">
      <w:pPr>
        <w:pStyle w:val="29"/>
        <w:spacing w:beforeAutospacing="0" w:afterAutospacing="0" w:line="480" w:lineRule="auto"/>
        <w:jc w:val="both"/>
        <w:rPr>
          <w:color w:val="auto"/>
          <w:highlight w:val="none"/>
          <w:shd w:val="clear" w:color="auto" w:fill="auto"/>
        </w:rPr>
      </w:pPr>
    </w:p>
    <w:p w14:paraId="3A9EE600">
      <w:pPr>
        <w:pStyle w:val="29"/>
        <w:spacing w:beforeAutospacing="0" w:afterAutospacing="0" w:line="480" w:lineRule="auto"/>
        <w:jc w:val="both"/>
        <w:rPr>
          <w:color w:val="auto"/>
          <w:highlight w:val="none"/>
          <w:shd w:val="clear" w:color="auto" w:fill="auto"/>
        </w:rPr>
      </w:pPr>
    </w:p>
    <w:p w14:paraId="393BB135">
      <w:pPr>
        <w:pStyle w:val="29"/>
        <w:spacing w:beforeAutospacing="0" w:afterAutospacing="0" w:line="480" w:lineRule="auto"/>
        <w:jc w:val="both"/>
        <w:rPr>
          <w:color w:val="auto"/>
          <w:highlight w:val="none"/>
          <w:shd w:val="clear" w:color="auto" w:fill="auto"/>
        </w:rPr>
      </w:pPr>
    </w:p>
    <w:p w14:paraId="4E10C64B">
      <w:pPr>
        <w:pStyle w:val="29"/>
        <w:spacing w:beforeAutospacing="0" w:afterAutospacing="0" w:line="480" w:lineRule="auto"/>
        <w:jc w:val="both"/>
        <w:rPr>
          <w:color w:val="auto"/>
          <w:highlight w:val="none"/>
          <w:shd w:val="clear" w:color="auto" w:fill="auto"/>
        </w:rPr>
      </w:pPr>
    </w:p>
    <w:p w14:paraId="0FA303FA">
      <w:pPr>
        <w:pStyle w:val="29"/>
        <w:spacing w:beforeAutospacing="0" w:afterAutospacing="0" w:line="480" w:lineRule="auto"/>
        <w:jc w:val="both"/>
        <w:rPr>
          <w:color w:val="auto"/>
          <w:highlight w:val="none"/>
          <w:shd w:val="clear" w:color="auto" w:fill="auto"/>
        </w:rPr>
      </w:pPr>
    </w:p>
    <w:p w14:paraId="5B41AEF7">
      <w:pPr>
        <w:pStyle w:val="29"/>
        <w:spacing w:beforeAutospacing="0" w:afterAutospacing="0" w:line="480" w:lineRule="auto"/>
        <w:jc w:val="both"/>
        <w:rPr>
          <w:color w:val="auto"/>
          <w:highlight w:val="none"/>
          <w:shd w:val="clear" w:color="auto" w:fill="auto"/>
        </w:rPr>
      </w:pPr>
    </w:p>
    <w:bookmarkEnd w:id="173"/>
    <w:bookmarkEnd w:id="174"/>
    <w:bookmarkEnd w:id="175"/>
    <w:bookmarkEnd w:id="176"/>
    <w:bookmarkEnd w:id="177"/>
    <w:p w14:paraId="72CA5A2B">
      <w:pPr>
        <w:pStyle w:val="29"/>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二</w:t>
      </w:r>
      <w:r>
        <w:rPr>
          <w:rFonts w:hint="eastAsia" w:ascii="黑体" w:hAnsi="宋体" w:eastAsia="黑体" w:cs="黑体"/>
          <w:b/>
          <w:i/>
          <w:color w:val="auto"/>
          <w:sz w:val="32"/>
          <w:szCs w:val="32"/>
          <w:highlight w:val="none"/>
          <w:u w:val="single"/>
        </w:rPr>
        <w:t>、开标一览表</w:t>
      </w:r>
    </w:p>
    <w:p w14:paraId="70E8D2DE">
      <w:pPr>
        <w:pStyle w:val="29"/>
        <w:spacing w:beforeAutospacing="0" w:afterAutospacing="0"/>
        <w:ind w:firstLine="480"/>
        <w:jc w:val="both"/>
        <w:rPr>
          <w:rFonts w:hint="eastAsia" w:ascii="宋体" w:hAnsi="宋体" w:eastAsia="宋体" w:cs="宋体"/>
          <w:color w:val="auto"/>
          <w:highlight w:val="none"/>
        </w:rPr>
      </w:pPr>
    </w:p>
    <w:p w14:paraId="154C1368">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000000"/>
          <w:highlight w:val="none"/>
        </w:rPr>
        <w:t>加盖CA电子签章</w:t>
      </w:r>
      <w:r>
        <w:rPr>
          <w:rFonts w:hint="eastAsia" w:ascii="宋体" w:hAnsi="宋体" w:eastAsia="宋体" w:cs="宋体"/>
          <w:color w:val="auto"/>
          <w:highlight w:val="none"/>
        </w:rPr>
        <w:t>）：   </w:t>
      </w:r>
    </w:p>
    <w:p w14:paraId="2C2A6A22">
      <w:pPr>
        <w:pStyle w:val="29"/>
        <w:spacing w:beforeAutospacing="0" w:afterAutospacing="0"/>
        <w:ind w:firstLine="480"/>
        <w:jc w:val="both"/>
        <w:rPr>
          <w:rFonts w:hint="eastAsia" w:ascii="宋体" w:hAnsi="宋体" w:eastAsia="宋体" w:cs="宋体"/>
          <w:color w:val="auto"/>
          <w:highlight w:val="none"/>
        </w:rPr>
      </w:pPr>
    </w:p>
    <w:p w14:paraId="6B9EDAB7">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69080D69">
      <w:pPr>
        <w:pStyle w:val="29"/>
        <w:spacing w:beforeAutospacing="0" w:afterAutospacing="0"/>
        <w:ind w:firstLine="480"/>
        <w:jc w:val="both"/>
        <w:rPr>
          <w:rFonts w:hint="eastAsia" w:ascii="宋体" w:hAnsi="宋体" w:eastAsia="宋体" w:cs="宋体"/>
          <w:color w:val="auto"/>
          <w:highlight w:val="none"/>
        </w:rPr>
      </w:pPr>
    </w:p>
    <w:p w14:paraId="3DD4D212">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项目编号：  </w:t>
      </w:r>
    </w:p>
    <w:p w14:paraId="7159337C">
      <w:pPr>
        <w:pStyle w:val="29"/>
        <w:spacing w:beforeAutospacing="0" w:afterAutospacing="0"/>
        <w:ind w:firstLine="480"/>
        <w:jc w:val="both"/>
        <w:rPr>
          <w:rFonts w:hint="eastAsia" w:ascii="宋体" w:hAnsi="宋体" w:eastAsia="宋体" w:cs="宋体"/>
          <w:color w:val="auto"/>
          <w:highlight w:val="none"/>
        </w:rPr>
      </w:pPr>
    </w:p>
    <w:p w14:paraId="5DD53558">
      <w:pPr>
        <w:pStyle w:val="29"/>
        <w:spacing w:beforeAutospacing="0" w:afterAutospacing="0"/>
        <w:ind w:firstLine="480"/>
        <w:jc w:val="both"/>
        <w:rPr>
          <w:rFonts w:hint="eastAsia" w:eastAsia="宋体"/>
          <w:color w:val="auto"/>
          <w:highlight w:val="none"/>
          <w:lang w:eastAsia="zh-CN"/>
        </w:rPr>
      </w:pPr>
      <w:r>
        <w:rPr>
          <w:rFonts w:hint="eastAsia" w:ascii="宋体" w:hAnsi="宋体" w:eastAsia="宋体" w:cs="宋体"/>
          <w:color w:val="auto"/>
          <w:highlight w:val="none"/>
        </w:rPr>
        <w:t>分包号：</w:t>
      </w:r>
      <w:r>
        <w:rPr>
          <w:rFonts w:hint="eastAsia" w:ascii="宋体" w:hAnsi="宋体" w:eastAsia="宋体" w:cs="宋体"/>
          <w:color w:val="auto"/>
          <w:highlight w:val="none"/>
          <w:lang w:val="en-US" w:eastAsia="zh-CN"/>
        </w:rPr>
        <w:t>/</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741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089F8C5">
            <w:pPr>
              <w:pStyle w:val="29"/>
              <w:spacing w:beforeAutospacing="0" w:after="0" w:afterAutospacing="0" w:line="240" w:lineRule="auto"/>
              <w:jc w:val="both"/>
              <w:rPr>
                <w:color w:val="auto"/>
                <w:highlight w:val="none"/>
                <w:vertAlign w:val="baseline"/>
              </w:rPr>
            </w:pPr>
            <w:r>
              <w:rPr>
                <w:rFonts w:ascii="宋体" w:hAnsi="宋体" w:eastAsia="宋体" w:cs="宋体"/>
                <w:sz w:val="24"/>
                <w:szCs w:val="24"/>
              </w:rPr>
              <w:t>投标</w:t>
            </w:r>
            <w:r>
              <w:rPr>
                <w:rFonts w:hint="eastAsia" w:ascii="宋体" w:hAnsi="宋体" w:eastAsia="宋体" w:cs="宋体"/>
                <w:sz w:val="24"/>
                <w:szCs w:val="24"/>
                <w:lang w:val="en-US" w:eastAsia="zh-CN"/>
              </w:rPr>
              <w:t>项目</w:t>
            </w:r>
            <w:r>
              <w:rPr>
                <w:rFonts w:ascii="宋体" w:hAnsi="宋体" w:eastAsia="宋体" w:cs="宋体"/>
                <w:sz w:val="24"/>
                <w:szCs w:val="24"/>
              </w:rPr>
              <w:t>名称</w:t>
            </w:r>
          </w:p>
        </w:tc>
        <w:tc>
          <w:tcPr>
            <w:tcW w:w="4261" w:type="dxa"/>
          </w:tcPr>
          <w:p w14:paraId="4BA744D6">
            <w:pPr>
              <w:pStyle w:val="29"/>
              <w:spacing w:beforeAutospacing="0" w:after="0" w:afterAutospacing="0" w:line="240" w:lineRule="auto"/>
              <w:jc w:val="both"/>
              <w:rPr>
                <w:color w:val="auto"/>
                <w:highlight w:val="none"/>
                <w:vertAlign w:val="baseline"/>
              </w:rPr>
            </w:pPr>
            <w:r>
              <w:rPr>
                <w:rFonts w:ascii="宋体" w:hAnsi="宋体" w:eastAsia="宋体" w:cs="宋体"/>
                <w:sz w:val="24"/>
                <w:szCs w:val="24"/>
              </w:rPr>
              <w:t>总价（小写）</w:t>
            </w:r>
          </w:p>
        </w:tc>
      </w:tr>
      <w:tr w14:paraId="01891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3DA1D91A">
            <w:pPr>
              <w:pStyle w:val="29"/>
              <w:spacing w:beforeAutospacing="0" w:after="0" w:afterAutospacing="0" w:line="240" w:lineRule="auto"/>
              <w:jc w:val="both"/>
              <w:rPr>
                <w:rFonts w:hint="eastAsia" w:eastAsiaTheme="minorEastAsia"/>
                <w:color w:val="auto"/>
                <w:highlight w:val="none"/>
                <w:vertAlign w:val="baseline"/>
                <w:lang w:eastAsia="zh-CN"/>
              </w:rPr>
            </w:pPr>
          </w:p>
        </w:tc>
        <w:tc>
          <w:tcPr>
            <w:tcW w:w="4261" w:type="dxa"/>
          </w:tcPr>
          <w:p w14:paraId="6DEC70A5">
            <w:pPr>
              <w:pStyle w:val="29"/>
              <w:spacing w:beforeAutospacing="0" w:after="0" w:afterAutospacing="0" w:line="240" w:lineRule="auto"/>
              <w:ind w:firstLine="2400" w:firstLineChars="1000"/>
              <w:jc w:val="both"/>
              <w:rPr>
                <w:color w:val="auto"/>
                <w:highlight w:val="none"/>
                <w:vertAlign w:val="baseline"/>
              </w:rPr>
            </w:pPr>
            <w:r>
              <w:rPr>
                <w:rFonts w:ascii="宋体" w:hAnsi="宋体" w:eastAsia="宋体" w:cs="宋体"/>
                <w:sz w:val="24"/>
                <w:szCs w:val="24"/>
              </w:rPr>
              <w:t>元</w:t>
            </w:r>
          </w:p>
        </w:tc>
      </w:tr>
    </w:tbl>
    <w:p w14:paraId="083F367D">
      <w:pPr>
        <w:pStyle w:val="29"/>
        <w:spacing w:beforeAutospacing="0" w:afterAutospacing="0"/>
        <w:jc w:val="both"/>
        <w:rPr>
          <w:color w:val="auto"/>
          <w:highlight w:val="none"/>
        </w:rPr>
      </w:pPr>
      <w:r>
        <w:rPr>
          <w:color w:val="auto"/>
          <w:highlight w:val="none"/>
        </w:rPr>
        <w:t> </w:t>
      </w:r>
    </w:p>
    <w:p w14:paraId="15F53820">
      <w:pPr>
        <w:pStyle w:val="2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29"/>
        <w:spacing w:beforeAutospacing="0" w:afterAutospacing="0"/>
        <w:ind w:firstLine="480"/>
        <w:jc w:val="both"/>
        <w:rPr>
          <w:color w:val="auto"/>
          <w:highlight w:val="none"/>
        </w:rPr>
      </w:pPr>
      <w:r>
        <w:rPr>
          <w:color w:val="auto"/>
          <w:highlight w:val="none"/>
        </w:rPr>
        <w:t> </w:t>
      </w:r>
    </w:p>
    <w:p w14:paraId="283320CC">
      <w:pPr>
        <w:pStyle w:val="29"/>
        <w:spacing w:beforeAutospacing="0" w:afterAutospacing="0" w:line="0" w:lineRule="atLeast"/>
        <w:ind w:firstLine="480"/>
        <w:jc w:val="both"/>
        <w:rPr>
          <w:rFonts w:hint="eastAsia" w:ascii="宋体" w:hAnsi="宋体" w:eastAsia="宋体" w:cs="宋体"/>
          <w:color w:val="auto"/>
          <w:highlight w:val="none"/>
          <w:lang w:val="en-US" w:eastAsia="zh-CN"/>
        </w:rPr>
      </w:pPr>
    </w:p>
    <w:p w14:paraId="29D1AF51">
      <w:pPr>
        <w:widowControl/>
        <w:spacing w:before="50" w:after="50"/>
        <w:jc w:val="center"/>
        <w:rPr>
          <w:color w:val="auto"/>
          <w:highlight w:val="none"/>
        </w:rPr>
      </w:pPr>
      <w:r>
        <w:rPr>
          <w:color w:val="auto"/>
          <w:highlight w:val="none"/>
        </w:rPr>
        <w:tab/>
      </w:r>
    </w:p>
    <w:p w14:paraId="6B5C7339">
      <w:pPr>
        <w:pStyle w:val="29"/>
        <w:spacing w:beforeAutospacing="0" w:afterAutospacing="0"/>
        <w:jc w:val="center"/>
        <w:rPr>
          <w:color w:val="auto"/>
          <w:highlight w:val="none"/>
          <w:shd w:val="clear" w:color="auto" w:fill="auto"/>
        </w:rPr>
      </w:pPr>
    </w:p>
    <w:p w14:paraId="1B13D9B0">
      <w:pPr>
        <w:rPr>
          <w:rFonts w:hint="eastAsia" w:ascii="黑体" w:hAnsi="宋体" w:eastAsia="黑体" w:cs="黑体"/>
          <w:b/>
          <w:color w:val="auto"/>
          <w:kern w:val="0"/>
          <w:sz w:val="32"/>
          <w:szCs w:val="32"/>
          <w:highlight w:val="none"/>
          <w:shd w:val="clear" w:color="auto" w:fill="auto"/>
          <w:lang w:val="en-US" w:eastAsia="zh-CN" w:bidi="ar-SA"/>
        </w:rPr>
      </w:pPr>
      <w:r>
        <w:rPr>
          <w:rFonts w:hint="eastAsia" w:ascii="黑体" w:hAnsi="宋体" w:eastAsia="黑体" w:cs="黑体"/>
          <w:b/>
          <w:color w:val="auto"/>
          <w:kern w:val="0"/>
          <w:sz w:val="32"/>
          <w:szCs w:val="32"/>
          <w:highlight w:val="none"/>
          <w:shd w:val="clear" w:color="auto" w:fill="auto"/>
          <w:lang w:val="en-US" w:eastAsia="zh-CN" w:bidi="ar-SA"/>
        </w:rPr>
        <w:br w:type="page"/>
      </w:r>
    </w:p>
    <w:p w14:paraId="756FBFA6">
      <w:pPr>
        <w:widowControl/>
        <w:spacing w:before="50" w:after="50"/>
        <w:jc w:val="center"/>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32"/>
          <w:szCs w:val="32"/>
          <w:highlight w:val="none"/>
          <w:shd w:val="clear" w:color="auto" w:fill="auto"/>
        </w:rPr>
        <w:t>十</w:t>
      </w:r>
      <w:r>
        <w:rPr>
          <w:rFonts w:hint="eastAsia" w:ascii="宋体" w:hAnsi="宋体" w:eastAsia="宋体" w:cs="宋体"/>
          <w:color w:val="auto"/>
          <w:sz w:val="32"/>
          <w:szCs w:val="32"/>
          <w:highlight w:val="none"/>
          <w:shd w:val="clear" w:color="auto" w:fill="auto"/>
          <w:lang w:val="en-US" w:eastAsia="zh-CN"/>
        </w:rPr>
        <w:t>三</w:t>
      </w:r>
      <w:r>
        <w:rPr>
          <w:rFonts w:hint="eastAsia" w:ascii="宋体" w:hAnsi="宋体" w:eastAsia="宋体" w:cs="宋体"/>
          <w:color w:val="auto"/>
          <w:sz w:val="32"/>
          <w:szCs w:val="32"/>
          <w:highlight w:val="none"/>
          <w:shd w:val="clear" w:color="auto" w:fill="auto"/>
        </w:rPr>
        <w:t>、技术方案、服务承诺、培训承诺等</w:t>
      </w:r>
      <w:r>
        <w:rPr>
          <w:rFonts w:hint="eastAsia" w:ascii="宋体" w:hAnsi="宋体" w:eastAsia="宋体" w:cs="宋体"/>
          <w:color w:val="auto"/>
          <w:sz w:val="32"/>
          <w:szCs w:val="32"/>
          <w:highlight w:val="none"/>
          <w:shd w:val="clear" w:color="auto" w:fill="auto"/>
          <w:lang w:eastAsia="zh-CN"/>
        </w:rPr>
        <w:t>（</w:t>
      </w:r>
      <w:r>
        <w:rPr>
          <w:rFonts w:hint="eastAsia" w:ascii="宋体" w:hAnsi="宋体" w:eastAsia="宋体" w:cs="宋体"/>
          <w:color w:val="auto"/>
          <w:sz w:val="32"/>
          <w:szCs w:val="32"/>
          <w:highlight w:val="none"/>
          <w:shd w:val="clear" w:color="auto" w:fill="auto"/>
          <w:lang w:val="en-US" w:eastAsia="zh-CN"/>
        </w:rPr>
        <w:t>如有）</w:t>
      </w:r>
    </w:p>
    <w:p w14:paraId="111DF7F8">
      <w:pPr>
        <w:pStyle w:val="29"/>
        <w:tabs>
          <w:tab w:val="left" w:pos="2160"/>
        </w:tabs>
        <w:spacing w:beforeAutospacing="0" w:afterAutospacing="0"/>
        <w:jc w:val="both"/>
        <w:rPr>
          <w:color w:val="auto"/>
          <w:highlight w:val="none"/>
          <w:shd w:val="clear" w:color="auto" w:fill="auto"/>
        </w:rPr>
      </w:pPr>
    </w:p>
    <w:p w14:paraId="664171EC">
      <w:pPr>
        <w:widowControl/>
        <w:spacing w:line="499" w:lineRule="atLeast"/>
        <w:ind w:firstLine="1600"/>
        <w:rPr>
          <w:rFonts w:ascii="宋体" w:hAnsi="宋体" w:eastAsia="宋体" w:cs="宋体"/>
          <w:color w:val="auto"/>
          <w:sz w:val="32"/>
          <w:szCs w:val="32"/>
          <w:highlight w:val="none"/>
          <w:shd w:val="clear" w:color="auto" w:fill="auto"/>
        </w:rPr>
      </w:pPr>
    </w:p>
    <w:p w14:paraId="71A5495D">
      <w:pPr>
        <w:widowControl/>
        <w:spacing w:line="499" w:lineRule="atLeast"/>
        <w:ind w:firstLine="1600"/>
        <w:rPr>
          <w:rFonts w:ascii="宋体" w:hAnsi="宋体" w:eastAsia="宋体" w:cs="宋体"/>
          <w:color w:val="auto"/>
          <w:sz w:val="32"/>
          <w:szCs w:val="32"/>
          <w:highlight w:val="none"/>
          <w:shd w:val="clear" w:color="auto" w:fill="auto"/>
        </w:rPr>
      </w:pPr>
    </w:p>
    <w:p w14:paraId="375D934C">
      <w:pPr>
        <w:widowControl/>
        <w:spacing w:line="499" w:lineRule="atLeast"/>
        <w:ind w:firstLine="1600"/>
        <w:rPr>
          <w:rFonts w:ascii="宋体" w:hAnsi="宋体" w:eastAsia="宋体" w:cs="宋体"/>
          <w:color w:val="auto"/>
          <w:sz w:val="32"/>
          <w:szCs w:val="32"/>
          <w:highlight w:val="none"/>
          <w:shd w:val="clear" w:color="auto" w:fill="auto"/>
        </w:rPr>
      </w:pPr>
    </w:p>
    <w:p w14:paraId="6508F872">
      <w:pPr>
        <w:widowControl/>
        <w:spacing w:line="499" w:lineRule="atLeast"/>
        <w:ind w:firstLine="1600"/>
        <w:rPr>
          <w:rFonts w:ascii="宋体" w:hAnsi="宋体" w:eastAsia="宋体" w:cs="宋体"/>
          <w:color w:val="auto"/>
          <w:sz w:val="32"/>
          <w:szCs w:val="32"/>
          <w:highlight w:val="none"/>
          <w:shd w:val="clear" w:color="auto" w:fill="auto"/>
        </w:rPr>
      </w:pPr>
    </w:p>
    <w:p w14:paraId="7B01ACC6">
      <w:pPr>
        <w:widowControl/>
        <w:spacing w:line="499" w:lineRule="atLeast"/>
        <w:ind w:firstLine="1600"/>
        <w:rPr>
          <w:rFonts w:ascii="宋体" w:hAnsi="宋体" w:eastAsia="宋体" w:cs="宋体"/>
          <w:color w:val="auto"/>
          <w:sz w:val="32"/>
          <w:szCs w:val="32"/>
          <w:highlight w:val="none"/>
          <w:shd w:val="clear" w:color="auto" w:fill="auto"/>
        </w:rPr>
      </w:pPr>
    </w:p>
    <w:p w14:paraId="54C16AD6">
      <w:pPr>
        <w:widowControl/>
        <w:spacing w:line="499" w:lineRule="atLeast"/>
        <w:ind w:firstLine="1600"/>
        <w:rPr>
          <w:rFonts w:ascii="宋体" w:hAnsi="宋体" w:eastAsia="宋体" w:cs="宋体"/>
          <w:color w:val="auto"/>
          <w:sz w:val="32"/>
          <w:szCs w:val="32"/>
          <w:highlight w:val="none"/>
          <w:shd w:val="clear" w:color="auto" w:fill="auto"/>
        </w:rPr>
      </w:pPr>
    </w:p>
    <w:p w14:paraId="0E806137">
      <w:pPr>
        <w:widowControl/>
        <w:spacing w:line="499" w:lineRule="atLeast"/>
        <w:ind w:firstLine="1600"/>
        <w:rPr>
          <w:rFonts w:ascii="宋体" w:hAnsi="宋体" w:eastAsia="宋体" w:cs="宋体"/>
          <w:color w:val="auto"/>
          <w:sz w:val="32"/>
          <w:szCs w:val="32"/>
          <w:highlight w:val="none"/>
          <w:shd w:val="clear" w:color="auto" w:fill="auto"/>
        </w:rPr>
      </w:pPr>
    </w:p>
    <w:p w14:paraId="3A561B3D">
      <w:pPr>
        <w:widowControl/>
        <w:spacing w:line="499" w:lineRule="atLeast"/>
        <w:ind w:firstLine="1600"/>
        <w:rPr>
          <w:rFonts w:ascii="宋体" w:hAnsi="宋体" w:eastAsia="宋体" w:cs="宋体"/>
          <w:color w:val="auto"/>
          <w:sz w:val="32"/>
          <w:szCs w:val="32"/>
          <w:highlight w:val="none"/>
          <w:shd w:val="clear" w:color="auto" w:fill="auto"/>
        </w:rPr>
      </w:pPr>
    </w:p>
    <w:p w14:paraId="1D02CE18">
      <w:pPr>
        <w:widowControl/>
        <w:spacing w:line="499" w:lineRule="atLeast"/>
        <w:ind w:firstLine="1600"/>
        <w:rPr>
          <w:rFonts w:ascii="宋体" w:hAnsi="宋体" w:eastAsia="宋体" w:cs="宋体"/>
          <w:color w:val="auto"/>
          <w:sz w:val="32"/>
          <w:szCs w:val="32"/>
          <w:highlight w:val="none"/>
          <w:shd w:val="clear" w:color="auto" w:fill="auto"/>
        </w:rPr>
      </w:pPr>
    </w:p>
    <w:p w14:paraId="295419F2">
      <w:pPr>
        <w:widowControl/>
        <w:spacing w:line="499" w:lineRule="atLeast"/>
        <w:ind w:firstLine="1600"/>
        <w:rPr>
          <w:rFonts w:ascii="宋体" w:hAnsi="宋体" w:eastAsia="宋体" w:cs="宋体"/>
          <w:color w:val="auto"/>
          <w:sz w:val="32"/>
          <w:szCs w:val="32"/>
          <w:highlight w:val="none"/>
          <w:shd w:val="clear" w:color="auto" w:fill="auto"/>
        </w:rPr>
      </w:pPr>
    </w:p>
    <w:p w14:paraId="008825AF">
      <w:pPr>
        <w:widowControl/>
        <w:spacing w:line="499" w:lineRule="atLeast"/>
        <w:ind w:firstLine="1600"/>
        <w:rPr>
          <w:rFonts w:ascii="宋体" w:hAnsi="宋体" w:eastAsia="宋体" w:cs="宋体"/>
          <w:color w:val="auto"/>
          <w:sz w:val="32"/>
          <w:szCs w:val="32"/>
          <w:highlight w:val="none"/>
          <w:shd w:val="clear" w:color="auto" w:fill="auto"/>
        </w:rPr>
      </w:pPr>
    </w:p>
    <w:p w14:paraId="26D22ECA">
      <w:pPr>
        <w:widowControl/>
        <w:spacing w:line="499" w:lineRule="atLeast"/>
        <w:ind w:firstLine="1600"/>
        <w:rPr>
          <w:rFonts w:ascii="宋体" w:hAnsi="宋体" w:eastAsia="宋体" w:cs="宋体"/>
          <w:color w:val="auto"/>
          <w:sz w:val="32"/>
          <w:szCs w:val="32"/>
          <w:highlight w:val="none"/>
          <w:shd w:val="clear" w:color="auto" w:fill="auto"/>
        </w:rPr>
      </w:pPr>
    </w:p>
    <w:p w14:paraId="7DEECBA8">
      <w:pPr>
        <w:widowControl/>
        <w:spacing w:line="499" w:lineRule="atLeast"/>
        <w:ind w:firstLine="1600"/>
        <w:rPr>
          <w:rFonts w:ascii="宋体" w:hAnsi="宋体" w:eastAsia="宋体" w:cs="宋体"/>
          <w:color w:val="auto"/>
          <w:sz w:val="32"/>
          <w:szCs w:val="32"/>
          <w:highlight w:val="none"/>
          <w:shd w:val="clear" w:color="auto" w:fill="auto"/>
        </w:rPr>
      </w:pPr>
    </w:p>
    <w:p w14:paraId="52552B35">
      <w:pPr>
        <w:widowControl/>
        <w:spacing w:line="499" w:lineRule="atLeast"/>
        <w:ind w:firstLine="1600"/>
        <w:rPr>
          <w:rFonts w:ascii="宋体" w:hAnsi="宋体" w:eastAsia="宋体" w:cs="宋体"/>
          <w:color w:val="auto"/>
          <w:sz w:val="32"/>
          <w:szCs w:val="32"/>
          <w:highlight w:val="none"/>
          <w:shd w:val="clear" w:color="auto" w:fill="auto"/>
        </w:rPr>
      </w:pPr>
    </w:p>
    <w:p w14:paraId="68F138B4">
      <w:pPr>
        <w:widowControl/>
        <w:spacing w:line="499" w:lineRule="atLeast"/>
        <w:ind w:firstLine="1600"/>
        <w:rPr>
          <w:rFonts w:ascii="宋体" w:hAnsi="宋体" w:eastAsia="宋体" w:cs="宋体"/>
          <w:color w:val="auto"/>
          <w:sz w:val="32"/>
          <w:szCs w:val="32"/>
          <w:highlight w:val="none"/>
          <w:shd w:val="clear" w:color="auto" w:fill="auto"/>
        </w:rPr>
      </w:pPr>
    </w:p>
    <w:p w14:paraId="13389203">
      <w:pPr>
        <w:widowControl/>
        <w:spacing w:line="499" w:lineRule="atLeast"/>
        <w:ind w:firstLine="1600"/>
        <w:rPr>
          <w:rFonts w:ascii="宋体" w:hAnsi="宋体" w:eastAsia="宋体" w:cs="宋体"/>
          <w:color w:val="auto"/>
          <w:sz w:val="32"/>
          <w:szCs w:val="32"/>
          <w:highlight w:val="none"/>
          <w:shd w:val="clear" w:color="auto" w:fill="auto"/>
        </w:rPr>
      </w:pPr>
    </w:p>
    <w:p w14:paraId="57151056">
      <w:pPr>
        <w:widowControl/>
        <w:spacing w:line="499" w:lineRule="atLeast"/>
        <w:ind w:firstLine="1600"/>
        <w:rPr>
          <w:rFonts w:ascii="宋体" w:hAnsi="宋体" w:eastAsia="宋体" w:cs="宋体"/>
          <w:color w:val="auto"/>
          <w:sz w:val="32"/>
          <w:szCs w:val="32"/>
          <w:highlight w:val="none"/>
          <w:shd w:val="clear" w:color="auto" w:fill="auto"/>
        </w:rPr>
      </w:pPr>
    </w:p>
    <w:p w14:paraId="6A1CF34B">
      <w:pPr>
        <w:widowControl/>
        <w:spacing w:line="499" w:lineRule="atLeast"/>
        <w:ind w:firstLine="1600"/>
        <w:rPr>
          <w:rFonts w:ascii="宋体" w:hAnsi="宋体" w:eastAsia="宋体" w:cs="宋体"/>
          <w:color w:val="auto"/>
          <w:sz w:val="32"/>
          <w:szCs w:val="32"/>
          <w:highlight w:val="none"/>
          <w:shd w:val="clear" w:color="auto" w:fill="auto"/>
        </w:rPr>
      </w:pPr>
    </w:p>
    <w:p w14:paraId="44CC2D18">
      <w:pPr>
        <w:widowControl/>
        <w:spacing w:line="499" w:lineRule="atLeast"/>
        <w:ind w:firstLine="1600"/>
        <w:rPr>
          <w:rFonts w:ascii="宋体" w:hAnsi="宋体" w:eastAsia="宋体" w:cs="宋体"/>
          <w:color w:val="auto"/>
          <w:sz w:val="32"/>
          <w:szCs w:val="32"/>
          <w:highlight w:val="none"/>
          <w:shd w:val="clear" w:color="auto" w:fill="auto"/>
        </w:rPr>
      </w:pPr>
    </w:p>
    <w:p w14:paraId="6FC62FBC">
      <w:pPr>
        <w:widowControl/>
        <w:spacing w:line="499" w:lineRule="atLeast"/>
        <w:ind w:firstLine="1600"/>
        <w:rPr>
          <w:rFonts w:ascii="宋体" w:hAnsi="宋体" w:eastAsia="宋体" w:cs="宋体"/>
          <w:color w:val="auto"/>
          <w:sz w:val="32"/>
          <w:szCs w:val="32"/>
          <w:highlight w:val="none"/>
          <w:shd w:val="clear" w:color="auto" w:fill="auto"/>
        </w:rPr>
      </w:pPr>
    </w:p>
    <w:p w14:paraId="76C1FBDB">
      <w:pPr>
        <w:widowControl/>
        <w:spacing w:line="499" w:lineRule="atLeast"/>
        <w:ind w:firstLine="1600"/>
        <w:rPr>
          <w:rFonts w:ascii="宋体" w:hAnsi="宋体" w:eastAsia="宋体" w:cs="宋体"/>
          <w:color w:val="auto"/>
          <w:sz w:val="32"/>
          <w:szCs w:val="32"/>
          <w:highlight w:val="none"/>
          <w:shd w:val="clear" w:color="auto" w:fill="auto"/>
        </w:rPr>
      </w:pPr>
    </w:p>
    <w:p w14:paraId="2DD5C01D">
      <w:pPr>
        <w:widowControl/>
        <w:spacing w:line="499" w:lineRule="atLeast"/>
        <w:ind w:firstLine="1600"/>
        <w:rPr>
          <w:rFonts w:ascii="宋体" w:hAnsi="宋体" w:eastAsia="宋体" w:cs="宋体"/>
          <w:color w:val="auto"/>
          <w:sz w:val="32"/>
          <w:szCs w:val="32"/>
          <w:highlight w:val="none"/>
          <w:shd w:val="clear" w:color="auto" w:fill="auto"/>
        </w:rPr>
      </w:pPr>
    </w:p>
    <w:p w14:paraId="31820ABB">
      <w:pPr>
        <w:widowControl/>
        <w:spacing w:line="499" w:lineRule="atLeast"/>
        <w:ind w:firstLine="1600"/>
        <w:rPr>
          <w:rFonts w:ascii="宋体" w:hAnsi="宋体" w:eastAsia="宋体" w:cs="宋体"/>
          <w:color w:val="auto"/>
          <w:sz w:val="32"/>
          <w:szCs w:val="32"/>
          <w:highlight w:val="none"/>
          <w:shd w:val="clear" w:color="auto" w:fill="auto"/>
        </w:rPr>
      </w:pPr>
    </w:p>
    <w:p w14:paraId="31BEBA86">
      <w:pPr>
        <w:widowControl/>
        <w:spacing w:line="499" w:lineRule="atLeast"/>
        <w:ind w:firstLine="1600"/>
        <w:rPr>
          <w:rFonts w:ascii="宋体" w:hAnsi="宋体" w:eastAsia="宋体" w:cs="宋体"/>
          <w:color w:val="auto"/>
          <w:sz w:val="32"/>
          <w:szCs w:val="32"/>
          <w:highlight w:val="none"/>
          <w:shd w:val="clear" w:color="auto" w:fill="auto"/>
        </w:rPr>
      </w:pPr>
    </w:p>
    <w:p w14:paraId="38042B4B">
      <w:pPr>
        <w:widowControl/>
        <w:spacing w:line="499" w:lineRule="atLeast"/>
        <w:ind w:firstLine="1600"/>
        <w:rPr>
          <w:rFonts w:ascii="宋体" w:hAnsi="宋体" w:eastAsia="宋体" w:cs="宋体"/>
          <w:color w:val="auto"/>
          <w:sz w:val="32"/>
          <w:szCs w:val="32"/>
          <w:highlight w:val="none"/>
          <w:shd w:val="clear" w:color="auto" w:fill="auto"/>
        </w:rPr>
      </w:pPr>
    </w:p>
    <w:p w14:paraId="6D0DB9E2">
      <w:pPr>
        <w:widowControl/>
        <w:spacing w:line="499" w:lineRule="atLeast"/>
        <w:ind w:firstLine="1600"/>
        <w:rPr>
          <w:rFonts w:ascii="宋体" w:hAnsi="宋体" w:eastAsia="宋体" w:cs="宋体"/>
          <w:color w:val="auto"/>
          <w:sz w:val="32"/>
          <w:szCs w:val="32"/>
          <w:highlight w:val="none"/>
          <w:shd w:val="clear" w:color="auto" w:fill="auto"/>
        </w:rPr>
      </w:pPr>
    </w:p>
    <w:p w14:paraId="3BBA04A0">
      <w:pPr>
        <w:widowControl/>
        <w:spacing w:line="499" w:lineRule="atLeast"/>
        <w:jc w:val="center"/>
        <w:rPr>
          <w:rFonts w:hint="eastAsia" w:ascii="黑体" w:hAnsi="黑体" w:eastAsia="黑体" w:cs="黑体"/>
          <w:b/>
          <w:bCs/>
          <w:color w:val="auto"/>
          <w:sz w:val="32"/>
          <w:szCs w:val="32"/>
          <w:highlight w:val="none"/>
          <w:shd w:val="clear" w:color="auto" w:fill="auto"/>
        </w:rPr>
      </w:pPr>
      <w:r>
        <w:rPr>
          <w:rFonts w:hint="eastAsia" w:ascii="黑体" w:hAnsi="黑体" w:eastAsia="黑体" w:cs="黑体"/>
          <w:b/>
          <w:bCs/>
          <w:color w:val="auto"/>
          <w:sz w:val="32"/>
          <w:szCs w:val="32"/>
          <w:highlight w:val="none"/>
          <w:shd w:val="clear" w:color="auto" w:fill="auto"/>
        </w:rPr>
        <w:t>十</w:t>
      </w:r>
      <w:r>
        <w:rPr>
          <w:rFonts w:hint="eastAsia" w:ascii="黑体" w:hAnsi="黑体" w:eastAsia="黑体" w:cs="黑体"/>
          <w:b/>
          <w:bCs/>
          <w:color w:val="auto"/>
          <w:sz w:val="32"/>
          <w:szCs w:val="32"/>
          <w:highlight w:val="none"/>
          <w:shd w:val="clear" w:color="auto" w:fill="auto"/>
          <w:lang w:val="en-US" w:eastAsia="zh-CN"/>
        </w:rPr>
        <w:t>四</w:t>
      </w:r>
      <w:r>
        <w:rPr>
          <w:rFonts w:hint="eastAsia" w:ascii="黑体" w:hAnsi="黑体" w:eastAsia="黑体" w:cs="黑体"/>
          <w:b/>
          <w:bCs/>
          <w:color w:val="auto"/>
          <w:sz w:val="32"/>
          <w:szCs w:val="32"/>
          <w:highlight w:val="none"/>
          <w:shd w:val="clear" w:color="auto" w:fill="auto"/>
        </w:rPr>
        <w:t>、盐城市政府采购事前信用承诺书</w:t>
      </w:r>
    </w:p>
    <w:p w14:paraId="2357DCE8">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5975A49D">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508F3301">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514D4112">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ABF7046">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27BF9476">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43CFE2D1">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2FCA509">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3063B6E9">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4C0710F">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4646C3A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法定代表人签名：</w:t>
      </w:r>
    </w:p>
    <w:p w14:paraId="72ED0D9C">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3DCBB072">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 月 日</w:t>
      </w:r>
    </w:p>
    <w:p w14:paraId="5A104269">
      <w:pPr>
        <w:widowControl/>
        <w:spacing w:line="499" w:lineRule="atLeast"/>
        <w:jc w:val="center"/>
        <w:rPr>
          <w:rFonts w:ascii="宋体" w:hAnsi="宋体" w:eastAsia="宋体" w:cs="宋体"/>
          <w:color w:val="auto"/>
          <w:sz w:val="24"/>
          <w:highlight w:val="none"/>
          <w:shd w:val="clear" w:color="auto" w:fill="auto"/>
        </w:rPr>
      </w:pPr>
    </w:p>
    <w:p w14:paraId="3681EB96">
      <w:pPr>
        <w:widowControl/>
        <w:spacing w:line="499" w:lineRule="atLeast"/>
        <w:jc w:val="center"/>
        <w:rPr>
          <w:rFonts w:ascii="宋体" w:hAnsi="宋体" w:eastAsia="宋体" w:cs="宋体"/>
          <w:color w:val="auto"/>
          <w:sz w:val="24"/>
          <w:highlight w:val="none"/>
          <w:shd w:val="clear" w:color="auto" w:fill="auto"/>
        </w:rPr>
      </w:pPr>
    </w:p>
    <w:p w14:paraId="78A3FAC7">
      <w:pPr>
        <w:pStyle w:val="29"/>
        <w:spacing w:beforeAutospacing="0" w:afterAutospacing="0"/>
        <w:jc w:val="center"/>
        <w:rPr>
          <w:color w:val="auto"/>
          <w:highlight w:val="none"/>
          <w:shd w:val="clear" w:color="auto" w:fill="auto"/>
        </w:rPr>
      </w:pPr>
    </w:p>
    <w:p w14:paraId="2C3D5838">
      <w:pPr>
        <w:rPr>
          <w:color w:val="auto"/>
          <w:highlight w:val="none"/>
          <w:shd w:val="clear" w:color="auto" w:fill="auto"/>
        </w:rPr>
      </w:pPr>
    </w:p>
    <w:p w14:paraId="60F78AA4">
      <w:pPr>
        <w:pStyle w:val="29"/>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37F02ED2">
      <w:pPr>
        <w:pStyle w:val="29"/>
        <w:spacing w:before="290"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DDB366A">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A94F3DE">
      <w:pPr>
        <w:pStyle w:val="29"/>
        <w:spacing w:beforeAutospacing="0" w:afterAutospacing="0" w:line="360" w:lineRule="auto"/>
        <w:ind w:firstLine="240" w:firstLineChars="100"/>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0095C0D1">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CDEA2B0">
      <w:pPr>
        <w:pStyle w:val="29"/>
        <w:spacing w:beforeAutospacing="0" w:afterAutospacing="0" w:line="360" w:lineRule="auto"/>
        <w:ind w:firstLine="240" w:firstLineChars="100"/>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7F698FC">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3E9E3DF6">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A93504">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EAA9573">
      <w:pPr>
        <w:pStyle w:val="29"/>
        <w:spacing w:beforeAutospacing="0" w:afterAutospacing="0" w:line="360" w:lineRule="auto"/>
        <w:ind w:firstLine="240" w:firstLineChars="100"/>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21EF87">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825DCDB">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5C9F7614">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7959A127">
      <w:pPr>
        <w:pStyle w:val="29"/>
        <w:spacing w:beforeAutospacing="0" w:afterAutospacing="0" w:line="360" w:lineRule="auto"/>
        <w:ind w:firstLine="240" w:firstLineChars="100"/>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2ED60F9A">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F5DB51C">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46A9CC39">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14:paraId="1A79C5A2">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61BC99D4">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50C81945">
      <w:pPr>
        <w:pStyle w:val="29"/>
        <w:spacing w:beforeAutospacing="0" w:afterAutospacing="0" w:line="360" w:lineRule="auto"/>
        <w:ind w:firstLine="240" w:firstLineChars="1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1943EA30">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2275C321">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3AE5F46B">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679021C6">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019F05A7">
      <w:pPr>
        <w:pStyle w:val="29"/>
        <w:spacing w:beforeAutospacing="0" w:afterAutospacing="0" w:line="360" w:lineRule="auto"/>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5671B5B9">
      <w:pPr>
        <w:pStyle w:val="29"/>
        <w:spacing w:beforeAutospacing="0" w:afterAutospacing="0"/>
        <w:ind w:firstLine="240" w:firstLineChars="1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15C1160C">
      <w:pPr>
        <w:pStyle w:val="29"/>
        <w:spacing w:beforeAutospacing="0" w:afterAutospacing="0" w:line="0" w:lineRule="atLeast"/>
        <w:ind w:firstLine="241" w:firstLineChars="100"/>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7431B490">
      <w:pPr>
        <w:pStyle w:val="2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710C0583">
      <w:pPr>
        <w:pStyle w:val="2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57103A">
      <w:pPr>
        <w:pStyle w:val="2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7374C3F2">
      <w:pPr>
        <w:pStyle w:val="2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0418C11E">
      <w:pPr>
        <w:pStyle w:val="2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26660331">
      <w:pPr>
        <w:pStyle w:val="2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11379459">
      <w:pPr>
        <w:pStyle w:val="81"/>
        <w:spacing w:beforeAutospacing="0" w:afterAutospacing="0"/>
        <w:ind w:firstLine="420"/>
        <w:jc w:val="both"/>
        <w:rPr>
          <w:rFonts w:hint="eastAsia" w:ascii="宋体" w:hAnsi="宋体" w:eastAsia="宋体" w:cs="宋体"/>
          <w:color w:val="000000"/>
        </w:rPr>
      </w:pPr>
      <w:r>
        <w:rPr>
          <w:rFonts w:hint="eastAsia" w:ascii="宋体" w:hAnsi="宋体" w:eastAsia="宋体" w:cs="宋体"/>
          <w:color w:val="000000"/>
        </w:rPr>
        <w:t> </w:t>
      </w:r>
    </w:p>
    <w:p w14:paraId="6D941EC0">
      <w:pPr>
        <w:rPr>
          <w:rFonts w:hint="eastAsia" w:ascii="宋体" w:hAnsi="宋体" w:eastAsia="宋体" w:cs="宋体"/>
          <w:color w:val="000000"/>
        </w:rPr>
      </w:pPr>
    </w:p>
    <w:p w14:paraId="3A36B33B">
      <w:pPr>
        <w:rPr>
          <w:rFonts w:hint="eastAsia" w:ascii="宋体" w:hAnsi="宋体" w:eastAsia="宋体" w:cs="宋体"/>
          <w:color w:val="000000"/>
        </w:rPr>
      </w:pPr>
    </w:p>
    <w:p w14:paraId="745A10E8">
      <w:pPr>
        <w:rPr>
          <w:rFonts w:hint="eastAsia" w:ascii="宋体" w:hAnsi="宋体" w:eastAsia="宋体" w:cs="宋体"/>
          <w:color w:val="000000"/>
        </w:rPr>
      </w:pPr>
    </w:p>
    <w:p w14:paraId="070637C1">
      <w:pPr>
        <w:rPr>
          <w:rFonts w:hint="eastAsia" w:ascii="宋体" w:hAnsi="宋体" w:eastAsia="宋体" w:cs="宋体"/>
          <w:color w:val="000000"/>
        </w:rPr>
      </w:pPr>
    </w:p>
    <w:p w14:paraId="22D32041">
      <w:pPr>
        <w:rPr>
          <w:rFonts w:hint="eastAsia" w:ascii="宋体" w:hAnsi="宋体" w:eastAsia="宋体" w:cs="宋体"/>
          <w:color w:val="000000"/>
        </w:rPr>
      </w:pPr>
    </w:p>
    <w:p w14:paraId="4EB36833">
      <w:pPr>
        <w:rPr>
          <w:rFonts w:hint="eastAsia" w:ascii="宋体" w:hAnsi="宋体" w:eastAsia="宋体" w:cs="宋体"/>
          <w:color w:val="000000"/>
        </w:rPr>
      </w:pPr>
    </w:p>
    <w:p w14:paraId="4CAAC43B">
      <w:pPr>
        <w:rPr>
          <w:rFonts w:hint="eastAsia" w:ascii="宋体" w:hAnsi="宋体" w:eastAsia="宋体" w:cs="宋体"/>
          <w:color w:val="000000"/>
        </w:rPr>
      </w:pPr>
    </w:p>
    <w:p w14:paraId="0AE0C54A">
      <w:pPr>
        <w:rPr>
          <w:rFonts w:hint="eastAsia" w:ascii="宋体" w:hAnsi="宋体" w:eastAsia="宋体" w:cs="宋体"/>
          <w:color w:val="000000"/>
        </w:rPr>
      </w:pPr>
    </w:p>
    <w:sectPr>
      <w:pgSz w:w="11906" w:h="16838"/>
      <w:pgMar w:top="1383" w:right="1134" w:bottom="1440" w:left="1134" w:header="851" w:footer="992" w:gutter="0"/>
      <w:pgNumType w:fmt="numberInDash"/>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DCB77">
    <w:pPr>
      <w:pStyle w:val="19"/>
    </w:pPr>
    <w:r>
      <w:rPr>
        <w:sz w:val="21"/>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E05B14E">
                <w:pPr>
                  <w:pStyle w:val="19"/>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18C35C7"/>
    <w:multiLevelType w:val="singleLevel"/>
    <w:tmpl w:val="F18C35C7"/>
    <w:lvl w:ilvl="0" w:tentative="0">
      <w:start w:val="3"/>
      <w:numFmt w:val="chineseCounting"/>
      <w:suff w:val="nothing"/>
      <w:lvlText w:val="%1、"/>
      <w:lvlJc w:val="left"/>
      <w:rPr>
        <w:rFonts w:hint="eastAsia"/>
      </w:rPr>
    </w:lvl>
  </w:abstractNum>
  <w:abstractNum w:abstractNumId="2">
    <w:nsid w:val="0053208E"/>
    <w:multiLevelType w:val="multilevel"/>
    <w:tmpl w:val="0053208E"/>
    <w:lvl w:ilvl="0" w:tentative="0">
      <w:start w:val="7"/>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4545C"/>
    <w:rsid w:val="01213A68"/>
    <w:rsid w:val="078E2810"/>
    <w:rsid w:val="115548CF"/>
    <w:rsid w:val="21E71F8A"/>
    <w:rsid w:val="27AF30E6"/>
    <w:rsid w:val="34645086"/>
    <w:rsid w:val="38413037"/>
    <w:rsid w:val="3B960381"/>
    <w:rsid w:val="3CD411CD"/>
    <w:rsid w:val="429331E3"/>
    <w:rsid w:val="47C06F1D"/>
    <w:rsid w:val="4C1C1FC1"/>
    <w:rsid w:val="501F6B57"/>
    <w:rsid w:val="51EE7212"/>
    <w:rsid w:val="5A534FF9"/>
    <w:rsid w:val="6D453971"/>
    <w:rsid w:val="71142710"/>
    <w:rsid w:val="759A6897"/>
    <w:rsid w:val="77F55B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3"/>
    <w:qFormat/>
    <w:uiPriority w:val="0"/>
    <w:pPr>
      <w:widowControl w:val="0"/>
      <w:jc w:val="both"/>
    </w:pPr>
    <w:rPr>
      <w:rFonts w:hint="default" w:ascii="Calibri" w:hAnsi="Calibri" w:eastAsia="Arial"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4"/>
    <w:qFormat/>
    <w:uiPriority w:val="0"/>
    <w:pPr>
      <w:spacing w:after="120"/>
    </w:pPr>
  </w:style>
  <w:style w:type="paragraph" w:customStyle="1" w:styleId="14">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Autospacing="1" w:afterAutospacing="1"/>
      <w:jc w:val="left"/>
    </w:pPr>
    <w:rPr>
      <w:rFonts w:cs="Times New Roman"/>
      <w:kern w:val="0"/>
      <w:sz w:val="24"/>
    </w:r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w:basedOn w:val="13"/>
    <w:qFormat/>
    <w:uiPriority w:val="0"/>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paragraph" w:customStyle="1" w:styleId="38">
    <w:name w:val="标题 11"/>
    <w:basedOn w:val="1"/>
    <w:next w:val="1"/>
    <w:link w:val="49"/>
    <w:qFormat/>
    <w:uiPriority w:val="9"/>
    <w:pPr>
      <w:keepNext/>
      <w:keepLines/>
      <w:spacing w:before="480" w:after="200"/>
      <w:outlineLvl w:val="0"/>
    </w:pPr>
    <w:rPr>
      <w:rFonts w:ascii="Arial" w:hAnsi="Arial" w:eastAsia="Arial" w:cs="Arial"/>
      <w:sz w:val="40"/>
      <w:szCs w:val="40"/>
    </w:rPr>
  </w:style>
  <w:style w:type="paragraph" w:customStyle="1" w:styleId="39">
    <w:name w:val="标题 21"/>
    <w:basedOn w:val="1"/>
    <w:next w:val="1"/>
    <w:unhideWhenUsed/>
    <w:qFormat/>
    <w:uiPriority w:val="0"/>
    <w:pPr>
      <w:widowControl w:val="0"/>
      <w:spacing w:beforeAutospacing="1" w:afterAutospacing="1"/>
      <w:jc w:val="left"/>
      <w:outlineLvl w:val="1"/>
    </w:pPr>
    <w:rPr>
      <w:rFonts w:hint="eastAsia" w:ascii="宋体" w:hAnsi="宋体" w:eastAsia="宋体" w:cs="Times New Roman"/>
      <w:b/>
      <w:bCs/>
      <w:sz w:val="36"/>
      <w:szCs w:val="36"/>
      <w:lang w:val="en-US" w:eastAsia="zh-CN" w:bidi="ar-SA"/>
    </w:rPr>
  </w:style>
  <w:style w:type="paragraph" w:customStyle="1" w:styleId="40">
    <w:name w:val="标题 31"/>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customStyle="1" w:styleId="41">
    <w:name w:val="标题 411"/>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customStyle="1" w:styleId="42">
    <w:name w:val="标题 51"/>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customStyle="1" w:styleId="43">
    <w:name w:val="标题 61"/>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customStyle="1" w:styleId="44">
    <w:name w:val="标题 71"/>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5">
    <w:name w:val="标题 81"/>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customStyle="1" w:styleId="46">
    <w:name w:val="标题 91"/>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customStyle="1" w:styleId="47">
    <w:name w:val="默认段落字体1"/>
    <w:link w:val="1"/>
    <w:semiHidden/>
    <w:qFormat/>
    <w:uiPriority w:val="0"/>
  </w:style>
  <w:style w:type="table" w:customStyle="1" w:styleId="48">
    <w:name w:val="普通表格1"/>
    <w:semiHidden/>
    <w:qFormat/>
    <w:uiPriority w:val="0"/>
  </w:style>
  <w:style w:type="character" w:customStyle="1" w:styleId="49">
    <w:name w:val="Heading 1 Char"/>
    <w:basedOn w:val="47"/>
    <w:link w:val="38"/>
    <w:qFormat/>
    <w:uiPriority w:val="9"/>
    <w:rPr>
      <w:rFonts w:ascii="Arial" w:hAnsi="Arial" w:eastAsia="Arial" w:cs="Arial"/>
      <w:sz w:val="40"/>
      <w:szCs w:val="40"/>
    </w:rPr>
  </w:style>
  <w:style w:type="character" w:customStyle="1" w:styleId="50">
    <w:name w:val="Heading 3 Char"/>
    <w:basedOn w:val="47"/>
    <w:link w:val="40"/>
    <w:qFormat/>
    <w:uiPriority w:val="9"/>
    <w:rPr>
      <w:rFonts w:ascii="Arial" w:hAnsi="Arial" w:eastAsia="Arial" w:cs="Arial"/>
      <w:sz w:val="30"/>
      <w:szCs w:val="30"/>
    </w:rPr>
  </w:style>
  <w:style w:type="character" w:customStyle="1" w:styleId="51">
    <w:name w:val="Heading 4 Char"/>
    <w:basedOn w:val="47"/>
    <w:link w:val="41"/>
    <w:qFormat/>
    <w:uiPriority w:val="9"/>
    <w:rPr>
      <w:rFonts w:ascii="Arial" w:hAnsi="Arial" w:eastAsia="Arial" w:cs="Arial"/>
      <w:b/>
      <w:bCs/>
      <w:sz w:val="26"/>
      <w:szCs w:val="26"/>
    </w:rPr>
  </w:style>
  <w:style w:type="character" w:customStyle="1" w:styleId="52">
    <w:name w:val="Heading 5 Char"/>
    <w:basedOn w:val="47"/>
    <w:link w:val="42"/>
    <w:qFormat/>
    <w:uiPriority w:val="9"/>
    <w:rPr>
      <w:rFonts w:ascii="Arial" w:hAnsi="Arial" w:eastAsia="Arial" w:cs="Arial"/>
      <w:b/>
      <w:bCs/>
      <w:sz w:val="24"/>
      <w:szCs w:val="24"/>
    </w:rPr>
  </w:style>
  <w:style w:type="character" w:customStyle="1" w:styleId="53">
    <w:name w:val="Heading 6 Char"/>
    <w:basedOn w:val="47"/>
    <w:link w:val="43"/>
    <w:qFormat/>
    <w:uiPriority w:val="9"/>
    <w:rPr>
      <w:rFonts w:ascii="Arial" w:hAnsi="Arial" w:eastAsia="Arial" w:cs="Arial"/>
      <w:b/>
      <w:bCs/>
      <w:sz w:val="22"/>
      <w:szCs w:val="22"/>
    </w:rPr>
  </w:style>
  <w:style w:type="character" w:customStyle="1" w:styleId="54">
    <w:name w:val="Heading 7 Char"/>
    <w:basedOn w:val="47"/>
    <w:link w:val="44"/>
    <w:qFormat/>
    <w:uiPriority w:val="9"/>
    <w:rPr>
      <w:rFonts w:ascii="Arial" w:hAnsi="Arial" w:eastAsia="Arial" w:cs="Arial"/>
      <w:b/>
      <w:bCs/>
      <w:i/>
      <w:iCs/>
      <w:sz w:val="22"/>
      <w:szCs w:val="22"/>
    </w:rPr>
  </w:style>
  <w:style w:type="character" w:customStyle="1" w:styleId="55">
    <w:name w:val="Heading 8 Char"/>
    <w:basedOn w:val="47"/>
    <w:link w:val="45"/>
    <w:qFormat/>
    <w:uiPriority w:val="9"/>
    <w:rPr>
      <w:rFonts w:ascii="Arial" w:hAnsi="Arial" w:eastAsia="Arial" w:cs="Arial"/>
      <w:i/>
      <w:iCs/>
      <w:sz w:val="22"/>
      <w:szCs w:val="22"/>
    </w:rPr>
  </w:style>
  <w:style w:type="character" w:customStyle="1" w:styleId="56">
    <w:name w:val="Heading 9 Char"/>
    <w:basedOn w:val="47"/>
    <w:link w:val="46"/>
    <w:qFormat/>
    <w:uiPriority w:val="9"/>
    <w:rPr>
      <w:rFonts w:ascii="Arial" w:hAnsi="Arial" w:eastAsia="Arial" w:cs="Arial"/>
      <w:i/>
      <w:iCs/>
      <w:sz w:val="21"/>
      <w:szCs w:val="21"/>
    </w:rPr>
  </w:style>
  <w:style w:type="paragraph" w:customStyle="1" w:styleId="57">
    <w:name w:val="目录 71"/>
    <w:basedOn w:val="1"/>
    <w:next w:val="1"/>
    <w:unhideWhenUsed/>
    <w:qFormat/>
    <w:uiPriority w:val="39"/>
    <w:pPr>
      <w:spacing w:after="57"/>
      <w:ind w:left="1701" w:right="0" w:firstLine="0"/>
    </w:pPr>
  </w:style>
  <w:style w:type="paragraph" w:customStyle="1" w:styleId="58">
    <w:name w:val="题注1"/>
    <w:basedOn w:val="1"/>
    <w:next w:val="1"/>
    <w:unhideWhenUsed/>
    <w:qFormat/>
    <w:uiPriority w:val="35"/>
    <w:pPr>
      <w:spacing w:line="276" w:lineRule="auto"/>
    </w:pPr>
    <w:rPr>
      <w:b/>
      <w:bCs/>
      <w:color w:val="4874CB"/>
      <w:sz w:val="18"/>
      <w:szCs w:val="18"/>
    </w:rPr>
  </w:style>
  <w:style w:type="paragraph" w:customStyle="1" w:styleId="59">
    <w:name w:val="正文文本1"/>
    <w:basedOn w:val="1"/>
    <w:next w:val="1"/>
    <w:qFormat/>
    <w:uiPriority w:val="0"/>
    <w:pPr>
      <w:spacing w:line="480" w:lineRule="auto"/>
      <w:jc w:val="center"/>
    </w:pPr>
    <w:rPr>
      <w:rFonts w:ascii="宋体"/>
      <w:b/>
      <w:sz w:val="72"/>
      <w:szCs w:val="20"/>
    </w:rPr>
  </w:style>
  <w:style w:type="paragraph" w:customStyle="1" w:styleId="60">
    <w:name w:val="正文文本缩进1"/>
    <w:link w:val="61"/>
    <w:qFormat/>
    <w:uiPriority w:val="0"/>
    <w:pPr>
      <w:widowControl w:val="0"/>
      <w:ind w:firstLine="570"/>
      <w:jc w:val="both"/>
    </w:pPr>
    <w:rPr>
      <w:rFonts w:hint="default" w:ascii="Times New Roman" w:hAnsi="Times New Roman" w:eastAsia="华文仿宋" w:cs="Times New Roman"/>
      <w:sz w:val="32"/>
      <w:szCs w:val="24"/>
      <w:lang w:val="en-US" w:eastAsia="zh-CN" w:bidi="ar-SA"/>
    </w:rPr>
  </w:style>
  <w:style w:type="character" w:customStyle="1" w:styleId="61">
    <w:name w:val="正文文本缩进 Char"/>
    <w:link w:val="60"/>
    <w:qFormat/>
    <w:uiPriority w:val="0"/>
    <w:rPr>
      <w:rFonts w:ascii="Times New Roman" w:hAnsi="Times New Roman" w:eastAsia="华文仿宋" w:cs="Times New Roman"/>
      <w:sz w:val="32"/>
      <w:szCs w:val="24"/>
      <w:lang w:val="en-US" w:eastAsia="zh-CN" w:bidi="ar-SA"/>
    </w:rPr>
  </w:style>
  <w:style w:type="paragraph" w:customStyle="1" w:styleId="62">
    <w:name w:val="目录 51"/>
    <w:basedOn w:val="1"/>
    <w:next w:val="1"/>
    <w:unhideWhenUsed/>
    <w:qFormat/>
    <w:uiPriority w:val="39"/>
    <w:pPr>
      <w:spacing w:after="57"/>
      <w:ind w:left="1134" w:right="0" w:firstLine="0"/>
    </w:pPr>
  </w:style>
  <w:style w:type="paragraph" w:customStyle="1" w:styleId="63">
    <w:name w:val="目录 31"/>
    <w:basedOn w:val="1"/>
    <w:next w:val="1"/>
    <w:unhideWhenUsed/>
    <w:qFormat/>
    <w:uiPriority w:val="39"/>
    <w:pPr>
      <w:spacing w:after="57"/>
      <w:ind w:left="567" w:right="0" w:firstLine="0"/>
    </w:pPr>
  </w:style>
  <w:style w:type="paragraph" w:customStyle="1" w:styleId="64">
    <w:name w:val="纯文本11"/>
    <w:basedOn w:val="1"/>
    <w:qFormat/>
    <w:uiPriority w:val="99"/>
    <w:rPr>
      <w:rFonts w:ascii="宋体" w:hAnsi="Courier New"/>
    </w:rPr>
  </w:style>
  <w:style w:type="paragraph" w:customStyle="1" w:styleId="65">
    <w:name w:val="目录 81"/>
    <w:basedOn w:val="1"/>
    <w:next w:val="1"/>
    <w:unhideWhenUsed/>
    <w:qFormat/>
    <w:uiPriority w:val="39"/>
    <w:pPr>
      <w:spacing w:after="57"/>
      <w:ind w:left="1984" w:right="0" w:firstLine="0"/>
    </w:pPr>
  </w:style>
  <w:style w:type="paragraph" w:customStyle="1" w:styleId="66">
    <w:name w:val="尾注文本1"/>
    <w:basedOn w:val="1"/>
    <w:link w:val="67"/>
    <w:unhideWhenUsed/>
    <w:qFormat/>
    <w:uiPriority w:val="99"/>
    <w:pPr>
      <w:spacing w:after="0" w:line="240" w:lineRule="auto"/>
    </w:pPr>
    <w:rPr>
      <w:sz w:val="20"/>
    </w:rPr>
  </w:style>
  <w:style w:type="character" w:customStyle="1" w:styleId="67">
    <w:name w:val="Endnote Text Char"/>
    <w:link w:val="66"/>
    <w:qFormat/>
    <w:uiPriority w:val="99"/>
    <w:rPr>
      <w:sz w:val="20"/>
    </w:rPr>
  </w:style>
  <w:style w:type="paragraph" w:customStyle="1" w:styleId="68">
    <w:name w:val="页脚1"/>
    <w:qFormat/>
    <w:uiPriority w:val="0"/>
    <w:pPr>
      <w:widowControl w:val="0"/>
      <w:tabs>
        <w:tab w:val="center" w:pos="4153"/>
        <w:tab w:val="right" w:pos="8306"/>
      </w:tabs>
      <w:jc w:val="left"/>
    </w:pPr>
    <w:rPr>
      <w:rFonts w:hint="default" w:ascii="Calibri" w:hAnsi="Calibri" w:eastAsia="Arial" w:cs="Times New Roman"/>
      <w:sz w:val="18"/>
      <w:szCs w:val="24"/>
      <w:lang w:val="en-US" w:eastAsia="zh-CN" w:bidi="ar-SA"/>
    </w:rPr>
  </w:style>
  <w:style w:type="paragraph" w:customStyle="1" w:styleId="69">
    <w:name w:val="页眉1"/>
    <w:basedOn w:val="1"/>
    <w:link w:val="70"/>
    <w:unhideWhenUsed/>
    <w:qFormat/>
    <w:uiPriority w:val="99"/>
    <w:pPr>
      <w:tabs>
        <w:tab w:val="center" w:pos="7143"/>
        <w:tab w:val="right" w:pos="14287"/>
      </w:tabs>
      <w:spacing w:after="0" w:line="240" w:lineRule="auto"/>
    </w:pPr>
  </w:style>
  <w:style w:type="character" w:customStyle="1" w:styleId="70">
    <w:name w:val="Header Char"/>
    <w:basedOn w:val="47"/>
    <w:link w:val="69"/>
    <w:qFormat/>
    <w:uiPriority w:val="99"/>
  </w:style>
  <w:style w:type="paragraph" w:customStyle="1" w:styleId="71">
    <w:name w:val="目录 11"/>
    <w:basedOn w:val="1"/>
    <w:next w:val="1"/>
    <w:unhideWhenUsed/>
    <w:qFormat/>
    <w:uiPriority w:val="39"/>
    <w:pPr>
      <w:spacing w:after="57"/>
      <w:ind w:left="0" w:right="0" w:firstLine="0"/>
    </w:pPr>
  </w:style>
  <w:style w:type="paragraph" w:customStyle="1" w:styleId="72">
    <w:name w:val="目录 41"/>
    <w:basedOn w:val="1"/>
    <w:next w:val="1"/>
    <w:unhideWhenUsed/>
    <w:qFormat/>
    <w:uiPriority w:val="39"/>
    <w:pPr>
      <w:spacing w:after="57"/>
      <w:ind w:left="850" w:right="0" w:firstLine="0"/>
    </w:pPr>
  </w:style>
  <w:style w:type="paragraph" w:customStyle="1" w:styleId="73">
    <w:name w:val="副标题1"/>
    <w:basedOn w:val="1"/>
    <w:next w:val="1"/>
    <w:link w:val="74"/>
    <w:qFormat/>
    <w:uiPriority w:val="11"/>
    <w:pPr>
      <w:spacing w:before="200" w:after="200"/>
    </w:pPr>
    <w:rPr>
      <w:sz w:val="24"/>
      <w:szCs w:val="24"/>
    </w:rPr>
  </w:style>
  <w:style w:type="character" w:customStyle="1" w:styleId="74">
    <w:name w:val="Subtitle Char"/>
    <w:basedOn w:val="47"/>
    <w:link w:val="73"/>
    <w:qFormat/>
    <w:uiPriority w:val="11"/>
    <w:rPr>
      <w:sz w:val="24"/>
      <w:szCs w:val="24"/>
    </w:rPr>
  </w:style>
  <w:style w:type="paragraph" w:customStyle="1" w:styleId="75">
    <w:name w:val="脚注文本1"/>
    <w:basedOn w:val="1"/>
    <w:link w:val="76"/>
    <w:unhideWhenUsed/>
    <w:qFormat/>
    <w:uiPriority w:val="99"/>
    <w:pPr>
      <w:spacing w:after="40" w:line="240" w:lineRule="auto"/>
    </w:pPr>
    <w:rPr>
      <w:sz w:val="18"/>
    </w:rPr>
  </w:style>
  <w:style w:type="character" w:customStyle="1" w:styleId="76">
    <w:name w:val="Footnote Text Char"/>
    <w:link w:val="75"/>
    <w:qFormat/>
    <w:uiPriority w:val="99"/>
    <w:rPr>
      <w:sz w:val="18"/>
    </w:rPr>
  </w:style>
  <w:style w:type="paragraph" w:customStyle="1" w:styleId="77">
    <w:name w:val="目录 61"/>
    <w:basedOn w:val="1"/>
    <w:next w:val="1"/>
    <w:unhideWhenUsed/>
    <w:qFormat/>
    <w:uiPriority w:val="39"/>
    <w:pPr>
      <w:spacing w:after="57"/>
      <w:ind w:left="1417" w:right="0" w:firstLine="0"/>
    </w:pPr>
  </w:style>
  <w:style w:type="paragraph" w:customStyle="1" w:styleId="78">
    <w:name w:val="图表目录1"/>
    <w:basedOn w:val="1"/>
    <w:next w:val="1"/>
    <w:unhideWhenUsed/>
    <w:qFormat/>
    <w:uiPriority w:val="99"/>
    <w:pPr>
      <w:spacing w:after="0" w:afterAutospacing="0"/>
    </w:pPr>
  </w:style>
  <w:style w:type="paragraph" w:customStyle="1" w:styleId="79">
    <w:name w:val="目录 21"/>
    <w:basedOn w:val="1"/>
    <w:next w:val="1"/>
    <w:unhideWhenUsed/>
    <w:qFormat/>
    <w:uiPriority w:val="39"/>
    <w:pPr>
      <w:spacing w:after="57"/>
      <w:ind w:left="283" w:right="0" w:firstLine="0"/>
    </w:pPr>
  </w:style>
  <w:style w:type="paragraph" w:customStyle="1" w:styleId="80">
    <w:name w:val="目录 91"/>
    <w:basedOn w:val="1"/>
    <w:next w:val="1"/>
    <w:unhideWhenUsed/>
    <w:qFormat/>
    <w:uiPriority w:val="39"/>
    <w:pPr>
      <w:spacing w:after="57"/>
      <w:ind w:left="2268" w:right="0" w:firstLine="0"/>
    </w:pPr>
  </w:style>
  <w:style w:type="paragraph" w:customStyle="1" w:styleId="81">
    <w:name w:val="普通(网站)1"/>
    <w:qFormat/>
    <w:uiPriority w:val="0"/>
    <w:pPr>
      <w:widowControl w:val="0"/>
      <w:spacing w:beforeAutospacing="1" w:afterAutospacing="1"/>
      <w:jc w:val="left"/>
    </w:pPr>
    <w:rPr>
      <w:rFonts w:hint="default" w:ascii="Calibri" w:hAnsi="Calibri" w:eastAsia="Arial" w:cs="Times New Roman"/>
      <w:sz w:val="24"/>
      <w:szCs w:val="24"/>
      <w:lang w:val="en-US" w:eastAsia="zh-CN" w:bidi="ar-SA"/>
    </w:rPr>
  </w:style>
  <w:style w:type="paragraph" w:customStyle="1" w:styleId="82">
    <w:name w:val="标题1"/>
    <w:basedOn w:val="1"/>
    <w:next w:val="1"/>
    <w:link w:val="83"/>
    <w:qFormat/>
    <w:uiPriority w:val="10"/>
    <w:pPr>
      <w:spacing w:before="300" w:after="200"/>
      <w:contextualSpacing/>
    </w:pPr>
    <w:rPr>
      <w:sz w:val="48"/>
      <w:szCs w:val="48"/>
    </w:rPr>
  </w:style>
  <w:style w:type="character" w:customStyle="1" w:styleId="83">
    <w:name w:val="Title Char"/>
    <w:basedOn w:val="47"/>
    <w:link w:val="82"/>
    <w:qFormat/>
    <w:uiPriority w:val="10"/>
    <w:rPr>
      <w:sz w:val="48"/>
      <w:szCs w:val="48"/>
    </w:rPr>
  </w:style>
  <w:style w:type="paragraph" w:customStyle="1" w:styleId="84">
    <w:name w:val="正文首行缩进1"/>
    <w:basedOn w:val="59"/>
    <w:qFormat/>
    <w:uiPriority w:val="0"/>
    <w:pPr>
      <w:spacing w:line="360" w:lineRule="auto"/>
      <w:ind w:firstLine="200"/>
    </w:pPr>
    <w:rPr>
      <w:rFonts w:ascii="仿宋_GB2312" w:eastAsia="仿宋_GB2312"/>
      <w:sz w:val="30"/>
      <w:szCs w:val="30"/>
    </w:rPr>
  </w:style>
  <w:style w:type="table" w:customStyle="1" w:styleId="85">
    <w:name w:val="网格型1"/>
    <w:basedOn w:val="48"/>
    <w:qFormat/>
    <w:uiPriority w:val="59"/>
    <w:pPr>
      <w:spacing w:after="0" w:line="240" w:lineRule="auto"/>
    </w:pPr>
  </w:style>
  <w:style w:type="character" w:customStyle="1" w:styleId="86">
    <w:name w:val="尾注引用1"/>
    <w:basedOn w:val="47"/>
    <w:link w:val="1"/>
    <w:unhideWhenUsed/>
    <w:qFormat/>
    <w:uiPriority w:val="99"/>
    <w:rPr>
      <w:vertAlign w:val="superscript"/>
    </w:rPr>
  </w:style>
  <w:style w:type="character" w:customStyle="1" w:styleId="87">
    <w:name w:val="超链接1"/>
    <w:link w:val="1"/>
    <w:unhideWhenUsed/>
    <w:qFormat/>
    <w:uiPriority w:val="99"/>
    <w:rPr>
      <w:color w:val="0026E5"/>
      <w:u w:val="single"/>
    </w:rPr>
  </w:style>
  <w:style w:type="character" w:customStyle="1" w:styleId="88">
    <w:name w:val="脚注引用1"/>
    <w:basedOn w:val="47"/>
    <w:link w:val="1"/>
    <w:unhideWhenUsed/>
    <w:qFormat/>
    <w:uiPriority w:val="99"/>
    <w:rPr>
      <w:vertAlign w:val="superscript"/>
    </w:rPr>
  </w:style>
  <w:style w:type="character" w:customStyle="1" w:styleId="89">
    <w:name w:val="要点1"/>
    <w:link w:val="1"/>
    <w:qFormat/>
    <w:uiPriority w:val="22"/>
    <w:rPr>
      <w:rFonts w:ascii="Calibri" w:hAnsi="Calibri" w:eastAsia="Arial" w:cs="Times New Roman"/>
      <w:sz w:val="21"/>
      <w:szCs w:val="24"/>
      <w:lang w:val="en-US" w:eastAsia="zh-CN" w:bidi="ar-SA"/>
    </w:rPr>
  </w:style>
  <w:style w:type="character" w:customStyle="1" w:styleId="90">
    <w:name w:val="Heading 2 Char"/>
    <w:basedOn w:val="47"/>
    <w:link w:val="1"/>
    <w:qFormat/>
    <w:uiPriority w:val="9"/>
    <w:rPr>
      <w:rFonts w:ascii="Arial" w:hAnsi="Arial" w:eastAsia="Arial" w:cs="Arial"/>
      <w:sz w:val="34"/>
    </w:rPr>
  </w:style>
  <w:style w:type="paragraph" w:styleId="91">
    <w:name w:val="List Paragraph"/>
    <w:basedOn w:val="1"/>
    <w:qFormat/>
    <w:uiPriority w:val="34"/>
    <w:pPr>
      <w:ind w:left="720"/>
      <w:contextualSpacing/>
    </w:pPr>
  </w:style>
  <w:style w:type="paragraph" w:styleId="92">
    <w:name w:val="No Spacing"/>
    <w:qFormat/>
    <w:uiPriority w:val="1"/>
    <w:pPr>
      <w:spacing w:before="0" w:after="0" w:line="240" w:lineRule="auto"/>
    </w:pPr>
    <w:rPr>
      <w:rFonts w:hint="default" w:ascii="Calibri" w:hAnsi="Calibri" w:eastAsia="Arial" w:cs="Times New Roman"/>
    </w:rPr>
  </w:style>
  <w:style w:type="paragraph" w:styleId="93">
    <w:name w:val="Quote"/>
    <w:basedOn w:val="1"/>
    <w:next w:val="1"/>
    <w:link w:val="94"/>
    <w:qFormat/>
    <w:uiPriority w:val="29"/>
    <w:pPr>
      <w:ind w:left="720" w:right="720"/>
    </w:pPr>
    <w:rPr>
      <w:i/>
    </w:rPr>
  </w:style>
  <w:style w:type="character" w:customStyle="1" w:styleId="94">
    <w:name w:val="Quote Char"/>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Intense Quote Char"/>
    <w:link w:val="95"/>
    <w:qFormat/>
    <w:uiPriority w:val="30"/>
    <w:rPr>
      <w:i/>
    </w:rPr>
  </w:style>
  <w:style w:type="character" w:customStyle="1" w:styleId="97">
    <w:name w:val="Footer Char"/>
    <w:basedOn w:val="47"/>
    <w:link w:val="1"/>
    <w:qFormat/>
    <w:uiPriority w:val="99"/>
  </w:style>
  <w:style w:type="character" w:customStyle="1" w:styleId="98">
    <w:name w:val="Caption Char"/>
    <w:link w:val="1"/>
    <w:qFormat/>
    <w:uiPriority w:val="99"/>
  </w:style>
  <w:style w:type="table" w:customStyle="1" w:styleId="99">
    <w:name w:val="Table Grid Light"/>
    <w:basedOn w:val="48"/>
    <w:qFormat/>
    <w:uiPriority w:val="59"/>
    <w:pPr>
      <w:spacing w:after="0" w:line="240" w:lineRule="auto"/>
    </w:pPr>
  </w:style>
  <w:style w:type="table" w:customStyle="1" w:styleId="100">
    <w:name w:val="Plain Table 1"/>
    <w:basedOn w:val="48"/>
    <w:qFormat/>
    <w:uiPriority w:val="59"/>
    <w:pPr>
      <w:spacing w:after="0" w:line="240" w:lineRule="auto"/>
    </w:pPr>
  </w:style>
  <w:style w:type="table" w:customStyle="1" w:styleId="101">
    <w:name w:val="Plain Table 2"/>
    <w:basedOn w:val="48"/>
    <w:qFormat/>
    <w:uiPriority w:val="59"/>
    <w:pPr>
      <w:spacing w:after="0" w:line="240" w:lineRule="auto"/>
    </w:pPr>
  </w:style>
  <w:style w:type="table" w:customStyle="1" w:styleId="102">
    <w:name w:val="Plain Table 3"/>
    <w:basedOn w:val="48"/>
    <w:qFormat/>
    <w:uiPriority w:val="99"/>
    <w:pPr>
      <w:spacing w:after="0" w:line="240" w:lineRule="auto"/>
    </w:pPr>
  </w:style>
  <w:style w:type="table" w:customStyle="1" w:styleId="103">
    <w:name w:val="Plain Table 4"/>
    <w:basedOn w:val="48"/>
    <w:qFormat/>
    <w:uiPriority w:val="99"/>
    <w:pPr>
      <w:spacing w:after="0" w:line="240" w:lineRule="auto"/>
    </w:pPr>
  </w:style>
  <w:style w:type="table" w:customStyle="1" w:styleId="104">
    <w:name w:val="Plain Table 5"/>
    <w:basedOn w:val="48"/>
    <w:qFormat/>
    <w:uiPriority w:val="99"/>
    <w:pPr>
      <w:spacing w:after="0" w:line="240" w:lineRule="auto"/>
    </w:pPr>
  </w:style>
  <w:style w:type="table" w:customStyle="1" w:styleId="105">
    <w:name w:val="Grid Table 1 Light"/>
    <w:basedOn w:val="48"/>
    <w:qFormat/>
    <w:uiPriority w:val="99"/>
    <w:pPr>
      <w:spacing w:after="0" w:line="240" w:lineRule="auto"/>
    </w:pPr>
  </w:style>
  <w:style w:type="table" w:customStyle="1" w:styleId="106">
    <w:name w:val="Grid Table 1 Light - Accent 1"/>
    <w:basedOn w:val="48"/>
    <w:qFormat/>
    <w:uiPriority w:val="99"/>
    <w:pPr>
      <w:spacing w:after="0" w:line="240" w:lineRule="auto"/>
    </w:pPr>
  </w:style>
  <w:style w:type="table" w:customStyle="1" w:styleId="107">
    <w:name w:val="Grid Table 1 Light - Accent 2"/>
    <w:basedOn w:val="48"/>
    <w:qFormat/>
    <w:uiPriority w:val="99"/>
    <w:pPr>
      <w:spacing w:after="0" w:line="240" w:lineRule="auto"/>
    </w:pPr>
  </w:style>
  <w:style w:type="table" w:customStyle="1" w:styleId="108">
    <w:name w:val="Grid Table 1 Light - Accent 3"/>
    <w:basedOn w:val="48"/>
    <w:qFormat/>
    <w:uiPriority w:val="99"/>
    <w:pPr>
      <w:spacing w:after="0" w:line="240" w:lineRule="auto"/>
    </w:pPr>
  </w:style>
  <w:style w:type="table" w:customStyle="1" w:styleId="109">
    <w:name w:val="Grid Table 1 Light - Accent 4"/>
    <w:basedOn w:val="48"/>
    <w:qFormat/>
    <w:uiPriority w:val="99"/>
    <w:pPr>
      <w:spacing w:after="0" w:line="240" w:lineRule="auto"/>
    </w:pPr>
  </w:style>
  <w:style w:type="table" w:customStyle="1" w:styleId="110">
    <w:name w:val="Grid Table 1 Light - Accent 5"/>
    <w:basedOn w:val="48"/>
    <w:qFormat/>
    <w:uiPriority w:val="99"/>
    <w:pPr>
      <w:spacing w:after="0" w:line="240" w:lineRule="auto"/>
    </w:pPr>
  </w:style>
  <w:style w:type="table" w:customStyle="1" w:styleId="111">
    <w:name w:val="Grid Table 1 Light - Accent 6"/>
    <w:basedOn w:val="48"/>
    <w:qFormat/>
    <w:uiPriority w:val="99"/>
    <w:pPr>
      <w:spacing w:after="0" w:line="240" w:lineRule="auto"/>
    </w:pPr>
  </w:style>
  <w:style w:type="table" w:customStyle="1" w:styleId="112">
    <w:name w:val="Grid Table 2"/>
    <w:basedOn w:val="48"/>
    <w:qFormat/>
    <w:uiPriority w:val="99"/>
    <w:pPr>
      <w:spacing w:after="0" w:line="240" w:lineRule="auto"/>
    </w:pPr>
  </w:style>
  <w:style w:type="table" w:customStyle="1" w:styleId="113">
    <w:name w:val="Grid Table 2 - Accent 1"/>
    <w:basedOn w:val="48"/>
    <w:qFormat/>
    <w:uiPriority w:val="99"/>
    <w:pPr>
      <w:spacing w:after="0" w:line="240" w:lineRule="auto"/>
    </w:pPr>
  </w:style>
  <w:style w:type="table" w:customStyle="1" w:styleId="114">
    <w:name w:val="Grid Table 2 - Accent 2"/>
    <w:basedOn w:val="48"/>
    <w:qFormat/>
    <w:uiPriority w:val="99"/>
    <w:pPr>
      <w:spacing w:after="0" w:line="240" w:lineRule="auto"/>
    </w:pPr>
  </w:style>
  <w:style w:type="table" w:customStyle="1" w:styleId="115">
    <w:name w:val="Grid Table 2 - Accent 3"/>
    <w:basedOn w:val="48"/>
    <w:qFormat/>
    <w:uiPriority w:val="99"/>
    <w:pPr>
      <w:spacing w:after="0" w:line="240" w:lineRule="auto"/>
    </w:pPr>
  </w:style>
  <w:style w:type="table" w:customStyle="1" w:styleId="116">
    <w:name w:val="Grid Table 2 - Accent 4"/>
    <w:basedOn w:val="48"/>
    <w:qFormat/>
    <w:uiPriority w:val="99"/>
    <w:pPr>
      <w:spacing w:after="0" w:line="240" w:lineRule="auto"/>
    </w:pPr>
  </w:style>
  <w:style w:type="table" w:customStyle="1" w:styleId="117">
    <w:name w:val="Grid Table 2 - Accent 5"/>
    <w:basedOn w:val="48"/>
    <w:qFormat/>
    <w:uiPriority w:val="99"/>
    <w:pPr>
      <w:spacing w:after="0" w:line="240" w:lineRule="auto"/>
    </w:pPr>
  </w:style>
  <w:style w:type="table" w:customStyle="1" w:styleId="118">
    <w:name w:val="Grid Table 2 - Accent 6"/>
    <w:basedOn w:val="48"/>
    <w:qFormat/>
    <w:uiPriority w:val="99"/>
    <w:pPr>
      <w:spacing w:after="0" w:line="240" w:lineRule="auto"/>
    </w:pPr>
  </w:style>
  <w:style w:type="table" w:customStyle="1" w:styleId="119">
    <w:name w:val="Grid Table 3"/>
    <w:basedOn w:val="48"/>
    <w:qFormat/>
    <w:uiPriority w:val="99"/>
    <w:pPr>
      <w:spacing w:after="0" w:line="240" w:lineRule="auto"/>
    </w:pPr>
  </w:style>
  <w:style w:type="table" w:customStyle="1" w:styleId="120">
    <w:name w:val="Grid Table 3 - Accent 1"/>
    <w:basedOn w:val="48"/>
    <w:qFormat/>
    <w:uiPriority w:val="99"/>
    <w:pPr>
      <w:spacing w:after="0" w:line="240" w:lineRule="auto"/>
    </w:pPr>
  </w:style>
  <w:style w:type="table" w:customStyle="1" w:styleId="121">
    <w:name w:val="Grid Table 3 - Accent 2"/>
    <w:basedOn w:val="48"/>
    <w:qFormat/>
    <w:uiPriority w:val="99"/>
    <w:pPr>
      <w:spacing w:after="0" w:line="240" w:lineRule="auto"/>
    </w:pPr>
  </w:style>
  <w:style w:type="table" w:customStyle="1" w:styleId="122">
    <w:name w:val="Grid Table 3 - Accent 3"/>
    <w:basedOn w:val="48"/>
    <w:qFormat/>
    <w:uiPriority w:val="99"/>
    <w:pPr>
      <w:spacing w:after="0" w:line="240" w:lineRule="auto"/>
    </w:pPr>
  </w:style>
  <w:style w:type="table" w:customStyle="1" w:styleId="123">
    <w:name w:val="Grid Table 3 - Accent 4"/>
    <w:basedOn w:val="48"/>
    <w:qFormat/>
    <w:uiPriority w:val="99"/>
    <w:pPr>
      <w:spacing w:after="0" w:line="240" w:lineRule="auto"/>
    </w:pPr>
  </w:style>
  <w:style w:type="table" w:customStyle="1" w:styleId="124">
    <w:name w:val="Grid Table 3 - Accent 5"/>
    <w:basedOn w:val="48"/>
    <w:qFormat/>
    <w:uiPriority w:val="99"/>
    <w:pPr>
      <w:spacing w:after="0" w:line="240" w:lineRule="auto"/>
    </w:pPr>
  </w:style>
  <w:style w:type="table" w:customStyle="1" w:styleId="125">
    <w:name w:val="Grid Table 3 - Accent 6"/>
    <w:basedOn w:val="48"/>
    <w:qFormat/>
    <w:uiPriority w:val="99"/>
    <w:pPr>
      <w:spacing w:after="0" w:line="240" w:lineRule="auto"/>
    </w:pPr>
  </w:style>
  <w:style w:type="table" w:customStyle="1" w:styleId="126">
    <w:name w:val="Grid Table 4"/>
    <w:basedOn w:val="48"/>
    <w:qFormat/>
    <w:uiPriority w:val="59"/>
    <w:pPr>
      <w:spacing w:after="0" w:line="240" w:lineRule="auto"/>
    </w:pPr>
  </w:style>
  <w:style w:type="table" w:customStyle="1" w:styleId="127">
    <w:name w:val="Grid Table 4 - Accent 1"/>
    <w:basedOn w:val="48"/>
    <w:qFormat/>
    <w:uiPriority w:val="59"/>
    <w:pPr>
      <w:spacing w:after="0" w:line="240" w:lineRule="auto"/>
    </w:pPr>
  </w:style>
  <w:style w:type="table" w:customStyle="1" w:styleId="128">
    <w:name w:val="Grid Table 4 - Accent 2"/>
    <w:basedOn w:val="48"/>
    <w:qFormat/>
    <w:uiPriority w:val="59"/>
    <w:pPr>
      <w:spacing w:after="0" w:line="240" w:lineRule="auto"/>
    </w:pPr>
  </w:style>
  <w:style w:type="table" w:customStyle="1" w:styleId="129">
    <w:name w:val="Grid Table 4 - Accent 3"/>
    <w:basedOn w:val="48"/>
    <w:qFormat/>
    <w:uiPriority w:val="59"/>
    <w:pPr>
      <w:spacing w:after="0" w:line="240" w:lineRule="auto"/>
    </w:pPr>
  </w:style>
  <w:style w:type="table" w:customStyle="1" w:styleId="130">
    <w:name w:val="Grid Table 4 - Accent 4"/>
    <w:basedOn w:val="48"/>
    <w:qFormat/>
    <w:uiPriority w:val="59"/>
    <w:pPr>
      <w:spacing w:after="0" w:line="240" w:lineRule="auto"/>
    </w:pPr>
  </w:style>
  <w:style w:type="table" w:customStyle="1" w:styleId="131">
    <w:name w:val="Grid Table 4 - Accent 5"/>
    <w:basedOn w:val="48"/>
    <w:qFormat/>
    <w:uiPriority w:val="59"/>
    <w:pPr>
      <w:spacing w:after="0" w:line="240" w:lineRule="auto"/>
    </w:pPr>
  </w:style>
  <w:style w:type="table" w:customStyle="1" w:styleId="132">
    <w:name w:val="Grid Table 4 - Accent 6"/>
    <w:basedOn w:val="48"/>
    <w:qFormat/>
    <w:uiPriority w:val="59"/>
    <w:pPr>
      <w:spacing w:after="0" w:line="240" w:lineRule="auto"/>
    </w:pPr>
  </w:style>
  <w:style w:type="table" w:customStyle="1" w:styleId="133">
    <w:name w:val="Grid Table 5 Dark"/>
    <w:basedOn w:val="48"/>
    <w:qFormat/>
    <w:uiPriority w:val="99"/>
    <w:pPr>
      <w:spacing w:after="0" w:line="240" w:lineRule="auto"/>
    </w:pPr>
  </w:style>
  <w:style w:type="table" w:customStyle="1" w:styleId="134">
    <w:name w:val="Grid Table 5 Dark- Accent 1"/>
    <w:basedOn w:val="48"/>
    <w:qFormat/>
    <w:uiPriority w:val="99"/>
    <w:pPr>
      <w:spacing w:after="0" w:line="240" w:lineRule="auto"/>
    </w:pPr>
  </w:style>
  <w:style w:type="table" w:customStyle="1" w:styleId="135">
    <w:name w:val="Grid Table 5 Dark - Accent 2"/>
    <w:basedOn w:val="48"/>
    <w:qFormat/>
    <w:uiPriority w:val="99"/>
    <w:pPr>
      <w:spacing w:after="0" w:line="240" w:lineRule="auto"/>
    </w:pPr>
  </w:style>
  <w:style w:type="table" w:customStyle="1" w:styleId="136">
    <w:name w:val="Grid Table 5 Dark - Accent 3"/>
    <w:basedOn w:val="48"/>
    <w:qFormat/>
    <w:uiPriority w:val="99"/>
    <w:pPr>
      <w:spacing w:after="0" w:line="240" w:lineRule="auto"/>
    </w:pPr>
  </w:style>
  <w:style w:type="table" w:customStyle="1" w:styleId="137">
    <w:name w:val="Grid Table 5 Dark- Accent 4"/>
    <w:basedOn w:val="48"/>
    <w:qFormat/>
    <w:uiPriority w:val="99"/>
    <w:pPr>
      <w:spacing w:after="0" w:line="240" w:lineRule="auto"/>
    </w:pPr>
  </w:style>
  <w:style w:type="table" w:customStyle="1" w:styleId="138">
    <w:name w:val="Grid Table 5 Dark - Accent 5"/>
    <w:basedOn w:val="48"/>
    <w:qFormat/>
    <w:uiPriority w:val="99"/>
    <w:pPr>
      <w:spacing w:after="0" w:line="240" w:lineRule="auto"/>
    </w:pPr>
  </w:style>
  <w:style w:type="table" w:customStyle="1" w:styleId="139">
    <w:name w:val="Grid Table 5 Dark - Accent 6"/>
    <w:basedOn w:val="48"/>
    <w:qFormat/>
    <w:uiPriority w:val="99"/>
    <w:pPr>
      <w:spacing w:after="0" w:line="240" w:lineRule="auto"/>
    </w:pPr>
  </w:style>
  <w:style w:type="table" w:customStyle="1" w:styleId="140">
    <w:name w:val="Grid Table 6 Colorful"/>
    <w:basedOn w:val="48"/>
    <w:qFormat/>
    <w:uiPriority w:val="99"/>
    <w:pPr>
      <w:spacing w:after="0" w:line="240" w:lineRule="auto"/>
    </w:pPr>
  </w:style>
  <w:style w:type="table" w:customStyle="1" w:styleId="141">
    <w:name w:val="Grid Table 6 Colorful - Accent 1"/>
    <w:basedOn w:val="48"/>
    <w:qFormat/>
    <w:uiPriority w:val="99"/>
    <w:pPr>
      <w:spacing w:after="0" w:line="240" w:lineRule="auto"/>
    </w:pPr>
  </w:style>
  <w:style w:type="table" w:customStyle="1" w:styleId="142">
    <w:name w:val="Grid Table 6 Colorful - Accent 2"/>
    <w:basedOn w:val="48"/>
    <w:qFormat/>
    <w:uiPriority w:val="99"/>
    <w:pPr>
      <w:spacing w:after="0" w:line="240" w:lineRule="auto"/>
    </w:pPr>
  </w:style>
  <w:style w:type="table" w:customStyle="1" w:styleId="143">
    <w:name w:val="Grid Table 6 Colorful - Accent 3"/>
    <w:basedOn w:val="48"/>
    <w:qFormat/>
    <w:uiPriority w:val="99"/>
    <w:pPr>
      <w:spacing w:after="0" w:line="240" w:lineRule="auto"/>
    </w:pPr>
  </w:style>
  <w:style w:type="table" w:customStyle="1" w:styleId="144">
    <w:name w:val="Grid Table 6 Colorful - Accent 4"/>
    <w:basedOn w:val="48"/>
    <w:qFormat/>
    <w:uiPriority w:val="99"/>
    <w:pPr>
      <w:spacing w:after="0" w:line="240" w:lineRule="auto"/>
    </w:pPr>
  </w:style>
  <w:style w:type="table" w:customStyle="1" w:styleId="145">
    <w:name w:val="Grid Table 6 Colorful - Accent 5"/>
    <w:basedOn w:val="48"/>
    <w:qFormat/>
    <w:uiPriority w:val="99"/>
    <w:pPr>
      <w:spacing w:after="0" w:line="240" w:lineRule="auto"/>
    </w:pPr>
  </w:style>
  <w:style w:type="table" w:customStyle="1" w:styleId="146">
    <w:name w:val="Grid Table 6 Colorful - Accent 6"/>
    <w:basedOn w:val="48"/>
    <w:qFormat/>
    <w:uiPriority w:val="99"/>
    <w:pPr>
      <w:spacing w:after="0" w:line="240" w:lineRule="auto"/>
    </w:pPr>
  </w:style>
  <w:style w:type="table" w:customStyle="1" w:styleId="147">
    <w:name w:val="Grid Table 7 Colorful"/>
    <w:basedOn w:val="48"/>
    <w:qFormat/>
    <w:uiPriority w:val="99"/>
    <w:pPr>
      <w:spacing w:after="0" w:line="240" w:lineRule="auto"/>
    </w:pPr>
  </w:style>
  <w:style w:type="table" w:customStyle="1" w:styleId="148">
    <w:name w:val="Grid Table 7 Colorful - Accent 1"/>
    <w:basedOn w:val="48"/>
    <w:qFormat/>
    <w:uiPriority w:val="99"/>
    <w:pPr>
      <w:spacing w:after="0" w:line="240" w:lineRule="auto"/>
    </w:pPr>
  </w:style>
  <w:style w:type="table" w:customStyle="1" w:styleId="149">
    <w:name w:val="Grid Table 7 Colorful - Accent 2"/>
    <w:basedOn w:val="48"/>
    <w:qFormat/>
    <w:uiPriority w:val="99"/>
    <w:pPr>
      <w:spacing w:after="0" w:line="240" w:lineRule="auto"/>
    </w:pPr>
  </w:style>
  <w:style w:type="table" w:customStyle="1" w:styleId="150">
    <w:name w:val="Grid Table 7 Colorful - Accent 3"/>
    <w:basedOn w:val="48"/>
    <w:qFormat/>
    <w:uiPriority w:val="99"/>
    <w:pPr>
      <w:spacing w:after="0" w:line="240" w:lineRule="auto"/>
    </w:pPr>
  </w:style>
  <w:style w:type="table" w:customStyle="1" w:styleId="151">
    <w:name w:val="Grid Table 7 Colorful - Accent 4"/>
    <w:basedOn w:val="48"/>
    <w:qFormat/>
    <w:uiPriority w:val="99"/>
    <w:pPr>
      <w:spacing w:after="0" w:line="240" w:lineRule="auto"/>
    </w:pPr>
  </w:style>
  <w:style w:type="table" w:customStyle="1" w:styleId="152">
    <w:name w:val="Grid Table 7 Colorful - Accent 5"/>
    <w:basedOn w:val="48"/>
    <w:qFormat/>
    <w:uiPriority w:val="99"/>
    <w:pPr>
      <w:spacing w:after="0" w:line="240" w:lineRule="auto"/>
    </w:pPr>
  </w:style>
  <w:style w:type="table" w:customStyle="1" w:styleId="153">
    <w:name w:val="Grid Table 7 Colorful - Accent 6"/>
    <w:basedOn w:val="48"/>
    <w:qFormat/>
    <w:uiPriority w:val="99"/>
    <w:pPr>
      <w:spacing w:after="0" w:line="240" w:lineRule="auto"/>
    </w:pPr>
  </w:style>
  <w:style w:type="table" w:customStyle="1" w:styleId="154">
    <w:name w:val="List Table 1 Light"/>
    <w:basedOn w:val="48"/>
    <w:qFormat/>
    <w:uiPriority w:val="99"/>
    <w:pPr>
      <w:spacing w:after="0" w:line="240" w:lineRule="auto"/>
    </w:pPr>
  </w:style>
  <w:style w:type="table" w:customStyle="1" w:styleId="155">
    <w:name w:val="List Table 1 Light - Accent 1"/>
    <w:basedOn w:val="48"/>
    <w:qFormat/>
    <w:uiPriority w:val="99"/>
    <w:pPr>
      <w:spacing w:after="0" w:line="240" w:lineRule="auto"/>
    </w:pPr>
  </w:style>
  <w:style w:type="table" w:customStyle="1" w:styleId="156">
    <w:name w:val="List Table 1 Light - Accent 2"/>
    <w:basedOn w:val="48"/>
    <w:qFormat/>
    <w:uiPriority w:val="99"/>
    <w:pPr>
      <w:spacing w:after="0" w:line="240" w:lineRule="auto"/>
    </w:pPr>
  </w:style>
  <w:style w:type="table" w:customStyle="1" w:styleId="157">
    <w:name w:val="List Table 1 Light - Accent 3"/>
    <w:basedOn w:val="48"/>
    <w:qFormat/>
    <w:uiPriority w:val="99"/>
    <w:pPr>
      <w:spacing w:after="0" w:line="240" w:lineRule="auto"/>
    </w:pPr>
  </w:style>
  <w:style w:type="table" w:customStyle="1" w:styleId="158">
    <w:name w:val="List Table 1 Light - Accent 4"/>
    <w:basedOn w:val="48"/>
    <w:qFormat/>
    <w:uiPriority w:val="99"/>
    <w:pPr>
      <w:spacing w:after="0" w:line="240" w:lineRule="auto"/>
    </w:pPr>
  </w:style>
  <w:style w:type="table" w:customStyle="1" w:styleId="159">
    <w:name w:val="List Table 1 Light - Accent 5"/>
    <w:basedOn w:val="48"/>
    <w:qFormat/>
    <w:uiPriority w:val="99"/>
    <w:pPr>
      <w:spacing w:after="0" w:line="240" w:lineRule="auto"/>
    </w:pPr>
  </w:style>
  <w:style w:type="table" w:customStyle="1" w:styleId="160">
    <w:name w:val="List Table 1 Light - Accent 6"/>
    <w:basedOn w:val="48"/>
    <w:qFormat/>
    <w:uiPriority w:val="99"/>
    <w:pPr>
      <w:spacing w:after="0" w:line="240" w:lineRule="auto"/>
    </w:pPr>
  </w:style>
  <w:style w:type="table" w:customStyle="1" w:styleId="161">
    <w:name w:val="List Table 2"/>
    <w:basedOn w:val="48"/>
    <w:qFormat/>
    <w:uiPriority w:val="99"/>
    <w:pPr>
      <w:spacing w:after="0" w:line="240" w:lineRule="auto"/>
    </w:pPr>
  </w:style>
  <w:style w:type="table" w:customStyle="1" w:styleId="162">
    <w:name w:val="List Table 2 - Accent 1"/>
    <w:basedOn w:val="48"/>
    <w:qFormat/>
    <w:uiPriority w:val="99"/>
    <w:pPr>
      <w:spacing w:after="0" w:line="240" w:lineRule="auto"/>
    </w:pPr>
  </w:style>
  <w:style w:type="table" w:customStyle="1" w:styleId="163">
    <w:name w:val="List Table 2 - Accent 2"/>
    <w:basedOn w:val="48"/>
    <w:qFormat/>
    <w:uiPriority w:val="99"/>
    <w:pPr>
      <w:spacing w:after="0" w:line="240" w:lineRule="auto"/>
    </w:pPr>
  </w:style>
  <w:style w:type="table" w:customStyle="1" w:styleId="164">
    <w:name w:val="List Table 2 - Accent 3"/>
    <w:basedOn w:val="48"/>
    <w:qFormat/>
    <w:uiPriority w:val="99"/>
    <w:pPr>
      <w:spacing w:after="0" w:line="240" w:lineRule="auto"/>
    </w:pPr>
  </w:style>
  <w:style w:type="table" w:customStyle="1" w:styleId="165">
    <w:name w:val="List Table 2 - Accent 4"/>
    <w:basedOn w:val="48"/>
    <w:qFormat/>
    <w:uiPriority w:val="99"/>
    <w:pPr>
      <w:spacing w:after="0" w:line="240" w:lineRule="auto"/>
    </w:pPr>
  </w:style>
  <w:style w:type="table" w:customStyle="1" w:styleId="166">
    <w:name w:val="List Table 2 - Accent 5"/>
    <w:basedOn w:val="48"/>
    <w:qFormat/>
    <w:uiPriority w:val="99"/>
    <w:pPr>
      <w:spacing w:after="0" w:line="240" w:lineRule="auto"/>
    </w:pPr>
  </w:style>
  <w:style w:type="table" w:customStyle="1" w:styleId="167">
    <w:name w:val="List Table 2 - Accent 6"/>
    <w:basedOn w:val="48"/>
    <w:qFormat/>
    <w:uiPriority w:val="99"/>
    <w:pPr>
      <w:spacing w:after="0" w:line="240" w:lineRule="auto"/>
    </w:pPr>
  </w:style>
  <w:style w:type="table" w:customStyle="1" w:styleId="168">
    <w:name w:val="List Table 3"/>
    <w:basedOn w:val="48"/>
    <w:qFormat/>
    <w:uiPriority w:val="99"/>
    <w:pPr>
      <w:spacing w:after="0" w:line="240" w:lineRule="auto"/>
    </w:pPr>
  </w:style>
  <w:style w:type="table" w:customStyle="1" w:styleId="169">
    <w:name w:val="List Table 3 - Accent 1"/>
    <w:basedOn w:val="48"/>
    <w:qFormat/>
    <w:uiPriority w:val="99"/>
    <w:pPr>
      <w:spacing w:after="0" w:line="240" w:lineRule="auto"/>
    </w:pPr>
  </w:style>
  <w:style w:type="table" w:customStyle="1" w:styleId="170">
    <w:name w:val="List Table 3 - Accent 2"/>
    <w:basedOn w:val="48"/>
    <w:qFormat/>
    <w:uiPriority w:val="99"/>
    <w:pPr>
      <w:spacing w:after="0" w:line="240" w:lineRule="auto"/>
    </w:pPr>
  </w:style>
  <w:style w:type="table" w:customStyle="1" w:styleId="171">
    <w:name w:val="List Table 3 - Accent 3"/>
    <w:basedOn w:val="48"/>
    <w:qFormat/>
    <w:uiPriority w:val="99"/>
    <w:pPr>
      <w:spacing w:after="0" w:line="240" w:lineRule="auto"/>
    </w:pPr>
  </w:style>
  <w:style w:type="table" w:customStyle="1" w:styleId="172">
    <w:name w:val="List Table 3 - Accent 4"/>
    <w:basedOn w:val="48"/>
    <w:qFormat/>
    <w:uiPriority w:val="99"/>
    <w:pPr>
      <w:spacing w:after="0" w:line="240" w:lineRule="auto"/>
    </w:pPr>
  </w:style>
  <w:style w:type="table" w:customStyle="1" w:styleId="173">
    <w:name w:val="List Table 3 - Accent 5"/>
    <w:basedOn w:val="48"/>
    <w:qFormat/>
    <w:uiPriority w:val="99"/>
    <w:pPr>
      <w:spacing w:after="0" w:line="240" w:lineRule="auto"/>
    </w:pPr>
  </w:style>
  <w:style w:type="table" w:customStyle="1" w:styleId="174">
    <w:name w:val="List Table 3 - Accent 6"/>
    <w:basedOn w:val="48"/>
    <w:qFormat/>
    <w:uiPriority w:val="99"/>
    <w:pPr>
      <w:spacing w:after="0" w:line="240" w:lineRule="auto"/>
    </w:pPr>
  </w:style>
  <w:style w:type="table" w:customStyle="1" w:styleId="175">
    <w:name w:val="List Table 4"/>
    <w:basedOn w:val="48"/>
    <w:qFormat/>
    <w:uiPriority w:val="99"/>
    <w:pPr>
      <w:spacing w:after="0" w:line="240" w:lineRule="auto"/>
    </w:pPr>
  </w:style>
  <w:style w:type="table" w:customStyle="1" w:styleId="176">
    <w:name w:val="List Table 4 - Accent 1"/>
    <w:basedOn w:val="48"/>
    <w:qFormat/>
    <w:uiPriority w:val="99"/>
    <w:pPr>
      <w:spacing w:after="0" w:line="240" w:lineRule="auto"/>
    </w:pPr>
  </w:style>
  <w:style w:type="table" w:customStyle="1" w:styleId="177">
    <w:name w:val="List Table 4 - Accent 2"/>
    <w:basedOn w:val="48"/>
    <w:qFormat/>
    <w:uiPriority w:val="99"/>
    <w:pPr>
      <w:spacing w:after="0" w:line="240" w:lineRule="auto"/>
    </w:pPr>
  </w:style>
  <w:style w:type="table" w:customStyle="1" w:styleId="178">
    <w:name w:val="List Table 4 - Accent 3"/>
    <w:basedOn w:val="48"/>
    <w:qFormat/>
    <w:uiPriority w:val="99"/>
    <w:pPr>
      <w:spacing w:after="0" w:line="240" w:lineRule="auto"/>
    </w:pPr>
  </w:style>
  <w:style w:type="table" w:customStyle="1" w:styleId="179">
    <w:name w:val="List Table 4 - Accent 4"/>
    <w:basedOn w:val="48"/>
    <w:qFormat/>
    <w:uiPriority w:val="99"/>
    <w:pPr>
      <w:spacing w:after="0" w:line="240" w:lineRule="auto"/>
    </w:pPr>
  </w:style>
  <w:style w:type="table" w:customStyle="1" w:styleId="180">
    <w:name w:val="List Table 4 - Accent 5"/>
    <w:basedOn w:val="48"/>
    <w:qFormat/>
    <w:uiPriority w:val="99"/>
    <w:pPr>
      <w:spacing w:after="0" w:line="240" w:lineRule="auto"/>
    </w:pPr>
  </w:style>
  <w:style w:type="table" w:customStyle="1" w:styleId="181">
    <w:name w:val="List Table 4 - Accent 6"/>
    <w:basedOn w:val="48"/>
    <w:qFormat/>
    <w:uiPriority w:val="99"/>
    <w:pPr>
      <w:spacing w:after="0" w:line="240" w:lineRule="auto"/>
    </w:pPr>
  </w:style>
  <w:style w:type="table" w:customStyle="1" w:styleId="182">
    <w:name w:val="List Table 5 Dark"/>
    <w:basedOn w:val="48"/>
    <w:qFormat/>
    <w:uiPriority w:val="99"/>
    <w:pPr>
      <w:spacing w:after="0" w:line="240" w:lineRule="auto"/>
    </w:pPr>
  </w:style>
  <w:style w:type="table" w:customStyle="1" w:styleId="183">
    <w:name w:val="List Table 5 Dark - Accent 1"/>
    <w:basedOn w:val="48"/>
    <w:qFormat/>
    <w:uiPriority w:val="99"/>
    <w:pPr>
      <w:spacing w:after="0" w:line="240" w:lineRule="auto"/>
    </w:pPr>
  </w:style>
  <w:style w:type="table" w:customStyle="1" w:styleId="184">
    <w:name w:val="List Table 5 Dark - Accent 2"/>
    <w:basedOn w:val="48"/>
    <w:qFormat/>
    <w:uiPriority w:val="99"/>
    <w:pPr>
      <w:spacing w:after="0" w:line="240" w:lineRule="auto"/>
    </w:pPr>
  </w:style>
  <w:style w:type="table" w:customStyle="1" w:styleId="185">
    <w:name w:val="List Table 5 Dark - Accent 3"/>
    <w:basedOn w:val="48"/>
    <w:qFormat/>
    <w:uiPriority w:val="99"/>
    <w:pPr>
      <w:spacing w:after="0" w:line="240" w:lineRule="auto"/>
    </w:pPr>
  </w:style>
  <w:style w:type="table" w:customStyle="1" w:styleId="186">
    <w:name w:val="List Table 5 Dark - Accent 4"/>
    <w:basedOn w:val="48"/>
    <w:qFormat/>
    <w:uiPriority w:val="99"/>
    <w:pPr>
      <w:spacing w:after="0" w:line="240" w:lineRule="auto"/>
    </w:pPr>
  </w:style>
  <w:style w:type="table" w:customStyle="1" w:styleId="187">
    <w:name w:val="List Table 5 Dark - Accent 5"/>
    <w:basedOn w:val="48"/>
    <w:qFormat/>
    <w:uiPriority w:val="99"/>
    <w:pPr>
      <w:spacing w:after="0" w:line="240" w:lineRule="auto"/>
    </w:pPr>
  </w:style>
  <w:style w:type="table" w:customStyle="1" w:styleId="188">
    <w:name w:val="List Table 5 Dark - Accent 6"/>
    <w:basedOn w:val="48"/>
    <w:qFormat/>
    <w:uiPriority w:val="99"/>
    <w:pPr>
      <w:spacing w:after="0" w:line="240" w:lineRule="auto"/>
    </w:pPr>
  </w:style>
  <w:style w:type="table" w:customStyle="1" w:styleId="189">
    <w:name w:val="List Table 6 Colorful"/>
    <w:basedOn w:val="48"/>
    <w:qFormat/>
    <w:uiPriority w:val="99"/>
    <w:pPr>
      <w:spacing w:after="0" w:line="240" w:lineRule="auto"/>
    </w:pPr>
  </w:style>
  <w:style w:type="table" w:customStyle="1" w:styleId="190">
    <w:name w:val="List Table 6 Colorful - Accent 1"/>
    <w:basedOn w:val="48"/>
    <w:qFormat/>
    <w:uiPriority w:val="99"/>
    <w:pPr>
      <w:spacing w:after="0" w:line="240" w:lineRule="auto"/>
    </w:pPr>
  </w:style>
  <w:style w:type="table" w:customStyle="1" w:styleId="191">
    <w:name w:val="List Table 6 Colorful - Accent 2"/>
    <w:basedOn w:val="48"/>
    <w:qFormat/>
    <w:uiPriority w:val="99"/>
    <w:pPr>
      <w:spacing w:after="0" w:line="240" w:lineRule="auto"/>
    </w:pPr>
  </w:style>
  <w:style w:type="table" w:customStyle="1" w:styleId="192">
    <w:name w:val="List Table 6 Colorful - Accent 3"/>
    <w:basedOn w:val="48"/>
    <w:qFormat/>
    <w:uiPriority w:val="99"/>
    <w:pPr>
      <w:spacing w:after="0" w:line="240" w:lineRule="auto"/>
    </w:pPr>
  </w:style>
  <w:style w:type="table" w:customStyle="1" w:styleId="193">
    <w:name w:val="List Table 6 Colorful - Accent 4"/>
    <w:basedOn w:val="48"/>
    <w:qFormat/>
    <w:uiPriority w:val="99"/>
    <w:pPr>
      <w:spacing w:after="0" w:line="240" w:lineRule="auto"/>
    </w:pPr>
  </w:style>
  <w:style w:type="table" w:customStyle="1" w:styleId="194">
    <w:name w:val="List Table 6 Colorful - Accent 5"/>
    <w:basedOn w:val="48"/>
    <w:qFormat/>
    <w:uiPriority w:val="99"/>
    <w:pPr>
      <w:spacing w:after="0" w:line="240" w:lineRule="auto"/>
    </w:pPr>
  </w:style>
  <w:style w:type="table" w:customStyle="1" w:styleId="195">
    <w:name w:val="List Table 6 Colorful - Accent 6"/>
    <w:basedOn w:val="48"/>
    <w:qFormat/>
    <w:uiPriority w:val="99"/>
    <w:pPr>
      <w:spacing w:after="0" w:line="240" w:lineRule="auto"/>
    </w:pPr>
  </w:style>
  <w:style w:type="table" w:customStyle="1" w:styleId="196">
    <w:name w:val="List Table 7 Colorful"/>
    <w:basedOn w:val="48"/>
    <w:qFormat/>
    <w:uiPriority w:val="99"/>
    <w:pPr>
      <w:spacing w:after="0" w:line="240" w:lineRule="auto"/>
    </w:pPr>
  </w:style>
  <w:style w:type="table" w:customStyle="1" w:styleId="197">
    <w:name w:val="List Table 7 Colorful - Accent 1"/>
    <w:basedOn w:val="48"/>
    <w:qFormat/>
    <w:uiPriority w:val="99"/>
    <w:pPr>
      <w:spacing w:after="0" w:line="240" w:lineRule="auto"/>
    </w:pPr>
  </w:style>
  <w:style w:type="table" w:customStyle="1" w:styleId="198">
    <w:name w:val="List Table 7 Colorful - Accent 2"/>
    <w:basedOn w:val="48"/>
    <w:qFormat/>
    <w:uiPriority w:val="99"/>
    <w:pPr>
      <w:spacing w:after="0" w:line="240" w:lineRule="auto"/>
    </w:pPr>
  </w:style>
  <w:style w:type="table" w:customStyle="1" w:styleId="199">
    <w:name w:val="List Table 7 Colorful - Accent 3"/>
    <w:basedOn w:val="48"/>
    <w:qFormat/>
    <w:uiPriority w:val="99"/>
    <w:pPr>
      <w:spacing w:after="0" w:line="240" w:lineRule="auto"/>
    </w:pPr>
  </w:style>
  <w:style w:type="table" w:customStyle="1" w:styleId="200">
    <w:name w:val="List Table 7 Colorful - Accent 4"/>
    <w:basedOn w:val="48"/>
    <w:qFormat/>
    <w:uiPriority w:val="99"/>
    <w:pPr>
      <w:spacing w:after="0" w:line="240" w:lineRule="auto"/>
    </w:pPr>
  </w:style>
  <w:style w:type="table" w:customStyle="1" w:styleId="201">
    <w:name w:val="List Table 7 Colorful - Accent 5"/>
    <w:basedOn w:val="48"/>
    <w:qFormat/>
    <w:uiPriority w:val="99"/>
    <w:pPr>
      <w:spacing w:after="0" w:line="240" w:lineRule="auto"/>
    </w:pPr>
  </w:style>
  <w:style w:type="table" w:customStyle="1" w:styleId="202">
    <w:name w:val="List Table 7 Colorful - Accent 6"/>
    <w:basedOn w:val="48"/>
    <w:qFormat/>
    <w:uiPriority w:val="99"/>
    <w:pPr>
      <w:spacing w:after="0" w:line="240" w:lineRule="auto"/>
    </w:pPr>
  </w:style>
  <w:style w:type="table" w:customStyle="1" w:styleId="203">
    <w:name w:val="Lined - Accent"/>
    <w:basedOn w:val="48"/>
    <w:qFormat/>
    <w:uiPriority w:val="99"/>
    <w:pPr>
      <w:spacing w:after="0" w:line="240" w:lineRule="auto"/>
    </w:pPr>
    <w:rPr>
      <w:color w:val="404040"/>
    </w:rPr>
  </w:style>
  <w:style w:type="table" w:customStyle="1" w:styleId="204">
    <w:name w:val="Lined - Accent 1"/>
    <w:basedOn w:val="48"/>
    <w:qFormat/>
    <w:uiPriority w:val="99"/>
    <w:pPr>
      <w:spacing w:after="0" w:line="240" w:lineRule="auto"/>
    </w:pPr>
    <w:rPr>
      <w:color w:val="404040"/>
    </w:rPr>
  </w:style>
  <w:style w:type="table" w:customStyle="1" w:styleId="205">
    <w:name w:val="Lined - Accent 2"/>
    <w:basedOn w:val="48"/>
    <w:qFormat/>
    <w:uiPriority w:val="99"/>
    <w:pPr>
      <w:spacing w:after="0" w:line="240" w:lineRule="auto"/>
    </w:pPr>
    <w:rPr>
      <w:color w:val="404040"/>
    </w:rPr>
  </w:style>
  <w:style w:type="table" w:customStyle="1" w:styleId="206">
    <w:name w:val="Lined - Accent 3"/>
    <w:basedOn w:val="48"/>
    <w:qFormat/>
    <w:uiPriority w:val="99"/>
    <w:pPr>
      <w:spacing w:after="0" w:line="240" w:lineRule="auto"/>
    </w:pPr>
    <w:rPr>
      <w:color w:val="404040"/>
    </w:rPr>
  </w:style>
  <w:style w:type="table" w:customStyle="1" w:styleId="207">
    <w:name w:val="Lined - Accent 4"/>
    <w:basedOn w:val="48"/>
    <w:qFormat/>
    <w:uiPriority w:val="99"/>
    <w:pPr>
      <w:spacing w:after="0" w:line="240" w:lineRule="auto"/>
    </w:pPr>
    <w:rPr>
      <w:color w:val="404040"/>
    </w:rPr>
  </w:style>
  <w:style w:type="table" w:customStyle="1" w:styleId="208">
    <w:name w:val="Lined - Accent 5"/>
    <w:basedOn w:val="48"/>
    <w:qFormat/>
    <w:uiPriority w:val="99"/>
    <w:pPr>
      <w:spacing w:after="0" w:line="240" w:lineRule="auto"/>
    </w:pPr>
    <w:rPr>
      <w:color w:val="404040"/>
    </w:rPr>
  </w:style>
  <w:style w:type="table" w:customStyle="1" w:styleId="209">
    <w:name w:val="Lined - Accent 6"/>
    <w:basedOn w:val="48"/>
    <w:qFormat/>
    <w:uiPriority w:val="99"/>
    <w:pPr>
      <w:spacing w:after="0" w:line="240" w:lineRule="auto"/>
    </w:pPr>
    <w:rPr>
      <w:color w:val="404040"/>
    </w:rPr>
  </w:style>
  <w:style w:type="table" w:customStyle="1" w:styleId="210">
    <w:name w:val="Bordered &amp; Lined - Accent"/>
    <w:basedOn w:val="48"/>
    <w:qFormat/>
    <w:uiPriority w:val="99"/>
    <w:pPr>
      <w:spacing w:after="0" w:line="240" w:lineRule="auto"/>
    </w:pPr>
    <w:rPr>
      <w:color w:val="404040"/>
    </w:rPr>
  </w:style>
  <w:style w:type="table" w:customStyle="1" w:styleId="211">
    <w:name w:val="Bordered &amp; Lined - Accent 1"/>
    <w:basedOn w:val="48"/>
    <w:qFormat/>
    <w:uiPriority w:val="99"/>
    <w:pPr>
      <w:spacing w:after="0" w:line="240" w:lineRule="auto"/>
    </w:pPr>
    <w:rPr>
      <w:color w:val="404040"/>
    </w:rPr>
  </w:style>
  <w:style w:type="table" w:customStyle="1" w:styleId="212">
    <w:name w:val="Bordered &amp; Lined - Accent 2"/>
    <w:basedOn w:val="48"/>
    <w:qFormat/>
    <w:uiPriority w:val="99"/>
    <w:pPr>
      <w:spacing w:after="0" w:line="240" w:lineRule="auto"/>
    </w:pPr>
    <w:rPr>
      <w:color w:val="404040"/>
    </w:rPr>
  </w:style>
  <w:style w:type="table" w:customStyle="1" w:styleId="213">
    <w:name w:val="Bordered &amp; Lined - Accent 3"/>
    <w:basedOn w:val="48"/>
    <w:qFormat/>
    <w:uiPriority w:val="99"/>
    <w:pPr>
      <w:spacing w:after="0" w:line="240" w:lineRule="auto"/>
    </w:pPr>
    <w:rPr>
      <w:color w:val="404040"/>
    </w:rPr>
  </w:style>
  <w:style w:type="table" w:customStyle="1" w:styleId="214">
    <w:name w:val="Bordered &amp; Lined - Accent 4"/>
    <w:basedOn w:val="48"/>
    <w:qFormat/>
    <w:uiPriority w:val="99"/>
    <w:pPr>
      <w:spacing w:after="0" w:line="240" w:lineRule="auto"/>
    </w:pPr>
    <w:rPr>
      <w:color w:val="404040"/>
    </w:rPr>
  </w:style>
  <w:style w:type="table" w:customStyle="1" w:styleId="215">
    <w:name w:val="Bordered &amp; Lined - Accent 5"/>
    <w:basedOn w:val="48"/>
    <w:qFormat/>
    <w:uiPriority w:val="99"/>
    <w:pPr>
      <w:spacing w:after="0" w:line="240" w:lineRule="auto"/>
    </w:pPr>
    <w:rPr>
      <w:color w:val="404040"/>
    </w:rPr>
  </w:style>
  <w:style w:type="table" w:customStyle="1" w:styleId="216">
    <w:name w:val="Bordered &amp; Lined - Accent 6"/>
    <w:basedOn w:val="48"/>
    <w:qFormat/>
    <w:uiPriority w:val="99"/>
    <w:pPr>
      <w:spacing w:after="0" w:line="240" w:lineRule="auto"/>
    </w:pPr>
    <w:rPr>
      <w:color w:val="404040"/>
    </w:rPr>
  </w:style>
  <w:style w:type="table" w:customStyle="1" w:styleId="217">
    <w:name w:val="Bordered"/>
    <w:basedOn w:val="48"/>
    <w:qFormat/>
    <w:uiPriority w:val="99"/>
    <w:pPr>
      <w:spacing w:after="0" w:line="240" w:lineRule="auto"/>
    </w:pPr>
  </w:style>
  <w:style w:type="table" w:customStyle="1" w:styleId="218">
    <w:name w:val="Bordered - Accent 1"/>
    <w:basedOn w:val="48"/>
    <w:qFormat/>
    <w:uiPriority w:val="99"/>
    <w:pPr>
      <w:spacing w:after="0" w:line="240" w:lineRule="auto"/>
    </w:pPr>
  </w:style>
  <w:style w:type="table" w:customStyle="1" w:styleId="219">
    <w:name w:val="Bordered - Accent 2"/>
    <w:basedOn w:val="48"/>
    <w:qFormat/>
    <w:uiPriority w:val="99"/>
    <w:pPr>
      <w:spacing w:after="0" w:line="240" w:lineRule="auto"/>
    </w:pPr>
  </w:style>
  <w:style w:type="table" w:customStyle="1" w:styleId="220">
    <w:name w:val="Bordered - Accent 3"/>
    <w:basedOn w:val="48"/>
    <w:qFormat/>
    <w:uiPriority w:val="99"/>
    <w:pPr>
      <w:spacing w:after="0" w:line="240" w:lineRule="auto"/>
    </w:pPr>
  </w:style>
  <w:style w:type="table" w:customStyle="1" w:styleId="221">
    <w:name w:val="Bordered - Accent 4"/>
    <w:basedOn w:val="48"/>
    <w:qFormat/>
    <w:uiPriority w:val="99"/>
    <w:pPr>
      <w:spacing w:after="0" w:line="240" w:lineRule="auto"/>
    </w:pPr>
  </w:style>
  <w:style w:type="table" w:customStyle="1" w:styleId="222">
    <w:name w:val="Bordered - Accent 5"/>
    <w:basedOn w:val="48"/>
    <w:qFormat/>
    <w:uiPriority w:val="99"/>
    <w:pPr>
      <w:spacing w:after="0" w:line="240" w:lineRule="auto"/>
    </w:pPr>
  </w:style>
  <w:style w:type="table" w:customStyle="1" w:styleId="223">
    <w:name w:val="Bordered - Accent 6"/>
    <w:basedOn w:val="48"/>
    <w:qFormat/>
    <w:uiPriority w:val="99"/>
    <w:pPr>
      <w:spacing w:after="0" w:line="240" w:lineRule="auto"/>
    </w:pPr>
  </w:style>
  <w:style w:type="paragraph" w:customStyle="1" w:styleId="224">
    <w:name w:val="TOC Heading"/>
    <w:unhideWhenUsed/>
    <w:qFormat/>
    <w:uiPriority w:val="39"/>
    <w:rPr>
      <w:rFonts w:hint="default" w:ascii="Calibri" w:hAnsi="Calibri" w:eastAsia="Arial" w:cs="Times New Roman"/>
    </w:rPr>
  </w:style>
  <w:style w:type="paragraph" w:customStyle="1" w:styleId="225">
    <w:name w:val="index heading1"/>
    <w:next w:val="226"/>
    <w:qFormat/>
    <w:uiPriority w:val="0"/>
    <w:pPr>
      <w:widowControl w:val="0"/>
      <w:jc w:val="both"/>
    </w:pPr>
    <w:rPr>
      <w:rFonts w:hint="default" w:ascii="Arial" w:hAnsi="Arial" w:eastAsia="Arial" w:cs="Arial"/>
      <w:b/>
      <w:bCs/>
      <w:sz w:val="21"/>
      <w:szCs w:val="24"/>
      <w:lang w:val="en-US" w:eastAsia="zh-CN" w:bidi="ar-SA"/>
    </w:rPr>
  </w:style>
  <w:style w:type="paragraph" w:customStyle="1" w:styleId="226">
    <w:name w:val="index 11"/>
    <w:next w:val="1"/>
    <w:qFormat/>
    <w:uiPriority w:val="0"/>
    <w:pPr>
      <w:widowControl w:val="0"/>
      <w:jc w:val="both"/>
    </w:pPr>
    <w:rPr>
      <w:rFonts w:hint="default" w:ascii="Calibri" w:hAnsi="Calibri" w:eastAsia="Arial" w:cs="Times New Roman"/>
      <w:sz w:val="21"/>
      <w:szCs w:val="24"/>
      <w:lang w:val="en-US" w:eastAsia="zh-CN" w:bidi="ar-SA"/>
    </w:rPr>
  </w:style>
  <w:style w:type="paragraph" w:customStyle="1" w:styleId="227">
    <w:name w:val="正文内容"/>
    <w:qFormat/>
    <w:uiPriority w:val="0"/>
    <w:pPr>
      <w:widowControl w:val="0"/>
      <w:spacing w:line="360" w:lineRule="auto"/>
      <w:ind w:firstLine="420"/>
      <w:jc w:val="both"/>
    </w:pPr>
    <w:rPr>
      <w:rFonts w:hint="default" w:ascii="Calibri" w:hAnsi="Calibri" w:eastAsia="Arial" w:cs="Times New Roman"/>
      <w:sz w:val="24"/>
      <w:szCs w:val="24"/>
      <w:lang w:val="en-US" w:eastAsia="zh-CN" w:bidi="ar-SA"/>
    </w:rPr>
  </w:style>
  <w:style w:type="paragraph" w:customStyle="1" w:styleId="228">
    <w:name w:val="标题 41"/>
    <w:next w:val="229"/>
    <w:qFormat/>
    <w:uiPriority w:val="0"/>
    <w:pPr>
      <w:keepNext/>
      <w:keepLines/>
      <w:widowControl w:val="0"/>
      <w:spacing w:before="280" w:after="290" w:line="376" w:lineRule="auto"/>
      <w:jc w:val="both"/>
      <w:outlineLvl w:val="3"/>
    </w:pPr>
    <w:rPr>
      <w:rFonts w:hint="default" w:ascii="Arial" w:hAnsi="Arial" w:eastAsia="黑体" w:cs="Times New Roman"/>
      <w:b/>
      <w:bCs/>
      <w:sz w:val="28"/>
      <w:szCs w:val="28"/>
      <w:lang w:val="en-US" w:eastAsia="zh-CN" w:bidi="ar-SA"/>
    </w:rPr>
  </w:style>
  <w:style w:type="paragraph" w:customStyle="1" w:styleId="229">
    <w:name w:val="正文缩进1"/>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paragraph" w:customStyle="1" w:styleId="230">
    <w:name w:val="Blockquote"/>
    <w:qFormat/>
    <w:uiPriority w:val="0"/>
    <w:pPr>
      <w:widowControl w:val="0"/>
      <w:spacing w:before="100" w:after="100"/>
      <w:ind w:left="360" w:right="360"/>
      <w:jc w:val="left"/>
    </w:pPr>
    <w:rPr>
      <w:rFonts w:hint="default" w:ascii="Times New Roman" w:hAnsi="Times New Roman" w:eastAsia="宋体" w:cs="Times New Roman"/>
      <w:sz w:val="24"/>
      <w:szCs w:val="20"/>
      <w:lang w:val="en-US" w:eastAsia="zh-CN" w:bidi="ar-SA"/>
    </w:rPr>
  </w:style>
  <w:style w:type="paragraph" w:customStyle="1" w:styleId="231">
    <w:name w:val="纯文本1"/>
    <w:qFormat/>
    <w:uiPriority w:val="0"/>
    <w:pPr>
      <w:widowControl w:val="0"/>
      <w:spacing w:before="156" w:after="156" w:line="400" w:lineRule="exact"/>
      <w:jc w:val="both"/>
    </w:pPr>
    <w:rPr>
      <w:rFonts w:hint="default" w:ascii="宋体" w:hAnsi="Courier New" w:eastAsia="宋体" w:cs="Times New Roman"/>
      <w:sz w:val="24"/>
      <w:szCs w:val="24"/>
      <w:lang w:val="en-US" w:eastAsia="zh-CN" w:bidi="ar-SA"/>
    </w:rPr>
  </w:style>
  <w:style w:type="character" w:customStyle="1" w:styleId="232">
    <w:name w:val="font41"/>
    <w:basedOn w:val="47"/>
    <w:link w:val="1"/>
    <w:qFormat/>
    <w:uiPriority w:val="0"/>
    <w:rPr>
      <w:rFonts w:ascii="仿宋_GB2312" w:eastAsia="仿宋_GB2312" w:cs="仿宋_GB2312"/>
      <w:color w:val="333333"/>
      <w:sz w:val="21"/>
      <w:szCs w:val="21"/>
      <w:u w:val="none"/>
    </w:rPr>
  </w:style>
  <w:style w:type="character" w:customStyle="1" w:styleId="233">
    <w:name w:val="font31"/>
    <w:basedOn w:val="47"/>
    <w:link w:val="1"/>
    <w:qFormat/>
    <w:uiPriority w:val="0"/>
    <w:rPr>
      <w:rFonts w:hint="eastAsia" w:ascii="宋体" w:hAnsi="宋体" w:eastAsia="宋体" w:cs="宋体"/>
      <w:color w:val="000000"/>
      <w:sz w:val="20"/>
      <w:szCs w:val="20"/>
      <w:u w:val="none"/>
    </w:rPr>
  </w:style>
  <w:style w:type="paragraph" w:customStyle="1" w:styleId="234">
    <w:name w:val="正文首行缩进 21"/>
    <w:basedOn w:val="60"/>
    <w:qFormat/>
    <w:uiPriority w:val="0"/>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10696</Words>
  <Characters>11480</Characters>
  <TotalTime>13</TotalTime>
  <ScaleCrop>false</ScaleCrop>
  <LinksUpToDate>false</LinksUpToDate>
  <CharactersWithSpaces>11816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2024-09-23T08:27:00Z</dcterms:created>
  <dc:creator>陈胖</dc:creator>
  <cp:lastModifiedBy>ᔕssMei</cp:lastModifiedBy>
  <dcterms:modified xsi:type="dcterms:W3CDTF">2026-06-04T02:58:11Z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eyJoZGlkIjoiY2EyMWZhNTQyMzZlZmQzNGMxZWI4OWM2ZGM0MTI0MzgiLCJ1c2VySWQiOiI2ODgzMjI5NDEifQ==</vt:lpwstr>
  </property>
  <property fmtid="{D5CDD505-2E9C-101B-9397-08002B2CF9AE}" pid="3" name="KSOProductBuildVer">
    <vt:lpwstr>2052-12.1.0.26375</vt:lpwstr>
  </property>
  <property fmtid="{D5CDD505-2E9C-101B-9397-08002B2CF9AE}" pid="4" name="ICV">
    <vt:lpwstr>46846D5FD69240DB9495A1A3F4CCD91B_12</vt:lpwstr>
  </property>
</Properties>
</file>